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302026_080923.xml.htm"/>
      <w:bookmarkStart w:id="1" w:name="ksform309302026_08092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Heuland Noemie Clemence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HEALTHEQUITY,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 SCENIC POINTE DR.,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DRAPER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HEALTHEQUITY, INC.</w:t>
              </w:r>
            </w:hyperlink>
            <w:r>
              <w:rPr/>
              <w:t xml:space="preserve"> [ </w:t>
            </w:r>
            <w:r>
              <w:rPr>
                <w:rFonts w:ascii="Times;serif" w:hAnsi="Times;serif"/>
                <w:color w:val="0000FF"/>
                <w:sz w:val="24"/>
                <w:shd w:fill="FFFFFF" w:val="clear"/>
              </w:rPr>
              <w:t>HQY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2,033</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 The restricted stock units vest in full on the date of the issuer's annual stockholder meeting in June of 2027. Vested shares will be delivered to the reporting person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Limited Power of Attorney for Section 16 Reporting Obligations executed by Ms. Heuland on September 29, 2026 is attached as an exhibit to this statement on Form 3 filed by Ms. Heuland with respect to HealthEquity, Inc. and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Newton,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9302026_080923.htm"/>
      <w:bookmarkStart w:id="3" w:name="ksex2409302026_080923"/>
      <w:bookmarkEnd w:id="2"/>
      <w:bookmarkEnd w:id="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 FOR SECTION 16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 that the undersigned hereby constitutes and appoints each of Delano W. Ladd, Michael R. Newton, and Willkie Farr &amp; Gallagher LLP, and each of the HealthEquity,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employees holding the titles of General Counsel, Corporate Secretary, and Chief Financial Officer, or any of them acting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execute for and on behalf of the undersigned, in the undersigned's capacity as an officer or director or both of HealthEquity, Forms 3, 4 and 5 (and any amendments thereto) in accordance with Section 16(a) of the Securities Exchange Act of 1934, as amended (the "</w:t>
            </w:r>
            <w:r>
              <w:rPr>
                <w:b/>
              </w:rPr>
              <w:t>Exchange Act</w:t>
            </w:r>
            <w:r>
              <w:rPr/>
              <w:t>"), and the rules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w:t>
            </w:r>
            <w:r>
              <w:rPr>
                <w:b/>
              </w:rPr>
              <w:t>SEC</w:t>
            </w:r>
            <w:r>
              <w:rPr/>
              <w:t>") and any securities exchange or similar authority, including without limitation the filing of a Form ID or any other documents necessary or appropriate to enable the undersigned to file the Forms 3, 4 and 5 electronically with the SEC;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4.</w:t>
            </w:r>
          </w:p>
        </w:tc>
        <w:tc>
          <w:tcPr>
            <w:tcW w:w="10017" w:type="dxa"/>
            <w:tcBorders/>
            <w:vAlign w:val="center"/>
          </w:tcPr>
          <w:p>
            <w:pPr>
              <w:pStyle w:val="TableContents"/>
              <w:bidi w:val="0"/>
              <w:spacing w:before="0" w:after="283"/>
              <w:jc w:val="both"/>
              <w:rPr/>
            </w:pPr>
            <w:r>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revokes any earlier Limited Power of Attorney delivered to the Company by the undersigned relating to the matters contemplated herein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Limited Power of Attorney as of this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and acknowledged:</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Noemie Heuland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25126" TargetMode="External"/><Relationship Id="rId3" Type="http://schemas.openxmlformats.org/officeDocument/2006/relationships/hyperlink" Target="http://www.sec.gov/cgi-bin/browse-edgar?action=getcompany&amp;CIK=00014283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1113</Words>
  <Characters>5957</Characters>
  <CharactersWithSpaces>7024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