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before="0" w:after="0"/>
        <w:jc w:val="center"/>
        <w:rPr/>
      </w:pPr>
      <w:r>
        <w:rPr/>
      </w:r>
    </w:p>
    <w:p>
      <w:pPr>
        <w:pStyle w:val="TextBody"/>
        <w:bidi w:val="0"/>
        <w:spacing w:lineRule="auto" w:line="264"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64" w:before="0" w:after="0"/>
        <w:jc w:val="center"/>
        <w:rPr>
          <w:rFonts w:ascii="Arial;sans-serif" w:hAnsi="Arial;sans-serif"/>
          <w:b/>
          <w:color w:val="000000"/>
          <w:sz w:val="18"/>
        </w:rPr>
      </w:pPr>
      <w:r>
        <w:rPr>
          <w:rFonts w:ascii="Arial;sans-serif" w:hAnsi="Arial;sans-serif"/>
          <w:b/>
          <w:color w:val="000000"/>
          <w:sz w:val="18"/>
        </w:rPr>
        <w:t>Pursuant to Section 13 or 15(d) of</w:t>
      </w:r>
    </w:p>
    <w:p>
      <w:pPr>
        <w:pStyle w:val="TextBody"/>
        <w:bidi w:val="0"/>
        <w:spacing w:lineRule="auto" w:line="264" w:before="0" w:after="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bidi w:val="0"/>
        <w:spacing w:before="0" w:after="0"/>
        <w:jc w:val="center"/>
        <w:rPr/>
      </w:pPr>
      <w:r>
        <w:rPr/>
      </w:r>
    </w:p>
    <w:p>
      <w:pPr>
        <w:pStyle w:val="TextBody"/>
        <w:bidi w:val="0"/>
        <w:spacing w:lineRule="auto" w:line="264" w:before="0" w:after="0"/>
        <w:jc w:val="center"/>
        <w:rPr>
          <w:rFonts w:ascii="Arial;sans-serif" w:hAnsi="Arial;sans-serif"/>
          <w:b/>
          <w:color w:val="000000"/>
          <w:sz w:val="18"/>
        </w:rPr>
      </w:pPr>
      <w:r>
        <w:rPr>
          <w:rFonts w:ascii="Arial;sans-serif" w:hAnsi="Arial;sans-serif"/>
          <w:b/>
          <w:color w:val="000000"/>
          <w:sz w:val="18"/>
        </w:rPr>
        <w:t>Date of Report (Date of earliest event reported)</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 xml:space="preserve">August 27, 2026 </w:t>
      </w:r>
    </w:p>
    <w:tbl>
      <w:tblPr>
        <w:tblW w:w="5127" w:type="dxa"/>
        <w:jc w:val="center"/>
        <w:tblInd w:w="0" w:type="dxa"/>
        <w:tblLayout w:type="fixed"/>
        <w:tblCellMar>
          <w:top w:w="28" w:type="dxa"/>
          <w:left w:w="28" w:type="dxa"/>
          <w:bottom w:w="28" w:type="dxa"/>
          <w:right w:w="28" w:type="dxa"/>
        </w:tblCellMar>
      </w:tblPr>
      <w:tblGrid>
        <w:gridCol w:w="610"/>
        <w:gridCol w:w="536"/>
        <w:gridCol w:w="536"/>
        <w:gridCol w:w="536"/>
        <w:gridCol w:w="536"/>
        <w:gridCol w:w="536"/>
        <w:gridCol w:w="536"/>
        <w:gridCol w:w="536"/>
        <w:gridCol w:w="765"/>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48"/>
              </w:rPr>
            </w:pPr>
            <w:r>
              <w:rPr>
                <w:rFonts w:ascii="Arial;sans-serif" w:hAnsi="Arial;sans-serif"/>
                <w:b/>
                <w:color w:val="000000"/>
                <w:sz w:val="48"/>
              </w:rPr>
              <w:t>HEALTHEQUITY, INC.</w:t>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342" w:type="dxa"/>
        <w:jc w:val="center"/>
        <w:tblInd w:w="0" w:type="dxa"/>
        <w:tblLayout w:type="fixed"/>
        <w:tblCellMar>
          <w:top w:w="28" w:type="dxa"/>
          <w:left w:w="28" w:type="dxa"/>
          <w:bottom w:w="28" w:type="dxa"/>
          <w:right w:w="28" w:type="dxa"/>
        </w:tblCellMar>
      </w:tblPr>
      <w:tblGrid>
        <w:gridCol w:w="911"/>
        <w:gridCol w:w="801"/>
        <w:gridCol w:w="808"/>
        <w:gridCol w:w="109"/>
        <w:gridCol w:w="109"/>
        <w:gridCol w:w="109"/>
        <w:gridCol w:w="742"/>
        <w:gridCol w:w="742"/>
        <w:gridCol w:w="750"/>
        <w:gridCol w:w="109"/>
        <w:gridCol w:w="109"/>
        <w:gridCol w:w="109"/>
        <w:gridCol w:w="565"/>
        <w:gridCol w:w="565"/>
        <w:gridCol w:w="80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001-36568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52-2383166</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Identification Number)</w:t>
            </w:r>
          </w:p>
        </w:tc>
      </w:tr>
    </w:tbl>
    <w:p>
      <w:pPr>
        <w:pStyle w:val="TextBody"/>
        <w:bidi w:val="0"/>
        <w:spacing w:before="60" w:after="283"/>
        <w:jc w:val="center"/>
        <w:rPr/>
      </w:pPr>
      <w:r>
        <w:rPr/>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 xml:space="preserve">15 West Scenic Pointe Drive </w:t>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 xml:space="preserve">Suite 100 </w:t>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 xml:space="preserve">Draper, Utah 84020 </w:t>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 xml:space="preserve">(801) 727-1000 </w:t>
      </w:r>
    </w:p>
    <w:p>
      <w:pPr>
        <w:pStyle w:val="TextBody"/>
        <w:bidi w:val="0"/>
        <w:spacing w:before="0" w:after="0"/>
        <w:jc w:val="center"/>
        <w:rPr/>
      </w:pPr>
      <w:r>
        <w:rPr/>
      </w:r>
    </w:p>
    <w:p>
      <w:pPr>
        <w:pStyle w:val="TextBody"/>
        <w:bidi w:val="0"/>
        <w:spacing w:lineRule="auto" w:line="345" w:before="0" w:after="0"/>
        <w:jc w:val="center"/>
        <w:rPr>
          <w:rFonts w:ascii="Arial;sans-serif" w:hAnsi="Arial;sans-serif"/>
          <w:b w:val="false"/>
          <w:color w:val="000000"/>
          <w:sz w:val="16"/>
        </w:rPr>
      </w:pPr>
      <w:r>
        <w:rPr>
          <w:rFonts w:ascii="Arial;sans-serif" w:hAnsi="Arial;sans-serif"/>
          <w:b w:val="false"/>
          <w:color w:val="000000"/>
          <w:sz w:val="16"/>
        </w:rPr>
        <w:t>(Address, including Zip Code, and Telephone Number, including Area Code, of Registrant’s Principal Executive Offices)</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Not Applicable</w:t>
      </w:r>
    </w:p>
    <w:p>
      <w:pPr>
        <w:pStyle w:val="TextBody"/>
        <w:bidi w:val="0"/>
        <w:spacing w:lineRule="auto" w:line="345" w:before="0" w:after="0"/>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331" w:before="100" w:after="10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 (see General Instruction A.2):</w:t>
      </w:r>
    </w:p>
    <w:p>
      <w:pPr>
        <w:pStyle w:val="TextBody"/>
        <w:bidi w:val="0"/>
        <w:spacing w:lineRule="auto" w:line="331" w:before="100" w:after="100"/>
        <w:jc w:val="left"/>
        <w:rPr/>
      </w:pPr>
      <w:r>
        <w:rPr>
          <w:color w:val="000000"/>
        </w:rPr>
        <w:t xml:space="preserve">☐ </w:t>
      </w:r>
      <w:r>
        <w:rPr>
          <w:rFonts w:ascii="Arial;sans-serif" w:hAnsi="Arial;sans-serif"/>
          <w:b w:val="false"/>
          <w:color w:val="000000"/>
          <w:sz w:val="16"/>
        </w:rPr>
        <w:t>Written communications pursuant to Rule 425 under the Securities Act (17 CFR 230.425)</w:t>
      </w:r>
    </w:p>
    <w:p>
      <w:pPr>
        <w:pStyle w:val="TextBody"/>
        <w:bidi w:val="0"/>
        <w:spacing w:lineRule="auto" w:line="331" w:before="100" w:after="100"/>
        <w:jc w:val="left"/>
        <w:rPr/>
      </w:pPr>
      <w:r>
        <w:rPr>
          <w:color w:val="000000"/>
        </w:rPr>
        <w:t xml:space="preserve">☐ </w:t>
      </w:r>
      <w:r>
        <w:rPr>
          <w:rFonts w:ascii="Arial;sans-serif" w:hAnsi="Arial;sans-serif"/>
          <w:b w:val="false"/>
          <w:color w:val="000000"/>
          <w:sz w:val="16"/>
        </w:rPr>
        <w:t>Soliciting material pursuant to Rule 14a-12 under the Exchange Act (17 CFR 240.14a-12)</w:t>
      </w:r>
    </w:p>
    <w:p>
      <w:pPr>
        <w:pStyle w:val="TextBody"/>
        <w:bidi w:val="0"/>
        <w:spacing w:lineRule="auto" w:line="331" w:before="100" w:after="100"/>
        <w:jc w:val="left"/>
        <w:rPr/>
      </w:pPr>
      <w:r>
        <w:rPr>
          <w:color w:val="000000"/>
        </w:rPr>
        <w:t xml:space="preserve">☐ </w:t>
      </w:r>
      <w:r>
        <w:rPr>
          <w:rFonts w:ascii="Arial;sans-serif" w:hAnsi="Arial;sans-serif"/>
          <w:b w:val="false"/>
          <w:color w:val="000000"/>
          <w:sz w:val="16"/>
        </w:rPr>
        <w:t>Pre-commencement communications pursuant to Rule 14d-2(b) under the Exchange Act (17 CFR 240.14d-2(b))</w:t>
      </w:r>
    </w:p>
    <w:p>
      <w:pPr>
        <w:pStyle w:val="TextBody"/>
        <w:bidi w:val="0"/>
        <w:spacing w:lineRule="auto" w:line="331" w:before="100" w:after="100"/>
        <w:jc w:val="left"/>
        <w:rPr/>
      </w:pPr>
      <w:r>
        <w:rPr>
          <w:color w:val="000000"/>
        </w:rPr>
        <w:t xml:space="preserve">☐ </w:t>
      </w:r>
      <w:r>
        <w:rPr>
          <w:rFonts w:ascii="Arial;sans-serif" w:hAnsi="Arial;sans-serif"/>
          <w:b w:val="false"/>
          <w:color w:val="000000"/>
          <w:sz w:val="16"/>
        </w:rPr>
        <w:t>Pre-commencement communications pursuant to Rule 13e-4(c) under the Exchange Act (17 CFR 240.13e-4(c))</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608" w:type="dxa"/>
        <w:jc w:val="left"/>
        <w:tblInd w:w="0" w:type="dxa"/>
        <w:tblLayout w:type="fixed"/>
        <w:tblCellMar>
          <w:top w:w="28" w:type="dxa"/>
          <w:left w:w="28" w:type="dxa"/>
          <w:bottom w:w="28" w:type="dxa"/>
          <w:right w:w="28" w:type="dxa"/>
        </w:tblCellMar>
      </w:tblPr>
      <w:tblGrid>
        <w:gridCol w:w="1220"/>
        <w:gridCol w:w="1071"/>
        <w:gridCol w:w="1084"/>
        <w:gridCol w:w="524"/>
        <w:gridCol w:w="524"/>
        <w:gridCol w:w="526"/>
        <w:gridCol w:w="1071"/>
        <w:gridCol w:w="1071"/>
        <w:gridCol w:w="1517"/>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HQY</w:t>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331" w:before="100" w:after="10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331" w:before="100" w:after="100"/>
        <w:jc w:val="right"/>
        <w:rPr/>
      </w:pPr>
      <w:r>
        <w:rPr>
          <w:rFonts w:ascii="Arial;sans-serif" w:hAnsi="Arial;sans-serif"/>
          <w:b w:val="false"/>
          <w:color w:val="000000"/>
          <w:sz w:val="16"/>
        </w:rPr>
        <w:t xml:space="preserve">Emerging growth company </w:t>
      </w:r>
      <w:r>
        <w:rPr>
          <w:color w:val="000000"/>
        </w:rPr>
        <w:t xml:space="preserve">☐ </w:t>
      </w:r>
    </w:p>
    <w:p>
      <w:pPr>
        <w:pStyle w:val="TextBody"/>
        <w:bidi w:val="0"/>
        <w:spacing w:lineRule="auto" w:line="331" w:before="100" w:after="18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100" w:after="283"/>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August 27, 2026, HealthEquity, Inc. issued a press release attached as Exhibit 99.1 to this current report on Form 8-K.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information in Exhibit 99.1 is being furnished to the Securities and Exchange Commission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381"/>
        <w:gridCol w:w="334"/>
        <w:gridCol w:w="337"/>
        <w:gridCol w:w="2673"/>
        <w:gridCol w:w="2673"/>
        <w:gridCol w:w="3807"/>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9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15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hqyearningsrelease-fy27q2.htm">
              <w:r>
                <w:rPr>
                  <w:rStyle w:val="InternetLink"/>
                  <w:rFonts w:ascii="Arial;sans-serif" w:hAnsi="Arial;sans-serif"/>
                  <w:b w:val="false"/>
                  <w:color w:val="0000FF"/>
                  <w:sz w:val="20"/>
                  <w:u w:val="single"/>
                </w:rPr>
                <w:t>Press release issued by HealthEquity, Inc. dated August 27, 2026, announcing financial results for its fiscal quarter ended July 31, 2026.</w:t>
              </w:r>
            </w:hyperlink>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Cover Page Interactive Data File (formatted in Inline XBRL)</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00"/>
        <w:jc w:val="left"/>
        <w:rPr/>
      </w:pPr>
      <w:r>
        <w:rPr/>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SIGNATURE</w:t>
      </w:r>
    </w:p>
    <w:p>
      <w:pPr>
        <w:pStyle w:val="TextBody"/>
        <w:bidi w:val="0"/>
        <w:spacing w:before="10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8175" w:type="dxa"/>
        <w:jc w:val="left"/>
        <w:tblInd w:w="0" w:type="dxa"/>
        <w:tblLayout w:type="fixed"/>
        <w:tblCellMar>
          <w:top w:w="28" w:type="dxa"/>
          <w:left w:w="28" w:type="dxa"/>
          <w:bottom w:w="28" w:type="dxa"/>
          <w:right w:w="28" w:type="dxa"/>
        </w:tblCellMar>
      </w:tblPr>
      <w:tblGrid>
        <w:gridCol w:w="749"/>
        <w:gridCol w:w="657"/>
        <w:gridCol w:w="664"/>
        <w:gridCol w:w="230"/>
        <w:gridCol w:w="230"/>
        <w:gridCol w:w="230"/>
        <w:gridCol w:w="230"/>
        <w:gridCol w:w="230"/>
        <w:gridCol w:w="230"/>
        <w:gridCol w:w="1373"/>
        <w:gridCol w:w="1373"/>
        <w:gridCol w:w="1979"/>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HEALTHEQUITY, INC.</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27, 2026</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James Lucania</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James Lucania</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HealthEquity Reports Second Quarter Ended July 31, 2026 Financial Results</w:t>
      </w:r>
    </w:p>
    <w:p>
      <w:pPr>
        <w:pStyle w:val="TextBody"/>
        <w:bidi w:val="0"/>
        <w:spacing w:before="0" w:after="60"/>
        <w:jc w:val="center"/>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Highlights of the second quarter include: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Net income increased </w:t>
      </w:r>
      <w:r>
        <w:rPr>
          <w:rFonts w:ascii="Arial;sans-serif" w:hAnsi="Arial;sans-serif"/>
          <w:b/>
          <w:color w:val="000000"/>
          <w:sz w:val="20"/>
        </w:rPr>
        <w:t>10%</w:t>
      </w:r>
      <w:r>
        <w:rPr>
          <w:color w:val="000000"/>
        </w:rPr>
        <w:t xml:space="preserve"> </w:t>
      </w:r>
      <w:r>
        <w:rPr>
          <w:rFonts w:ascii="Arial;sans-serif" w:hAnsi="Arial;sans-serif"/>
          <w:b w:val="false"/>
          <w:color w:val="000000"/>
          <w:sz w:val="20"/>
        </w:rPr>
        <w:t xml:space="preserve">to </w:t>
      </w:r>
      <w:r>
        <w:rPr>
          <w:rFonts w:ascii="Arial;sans-serif" w:hAnsi="Arial;sans-serif"/>
          <w:b/>
          <w:color w:val="000000"/>
          <w:sz w:val="20"/>
        </w:rPr>
        <w:t>$65.6 million</w:t>
      </w:r>
      <w:r>
        <w:rPr>
          <w:rFonts w:ascii="Arial;sans-serif" w:hAnsi="Arial;sans-serif"/>
          <w:b w:val="false"/>
          <w:color w:val="000000"/>
          <w:sz w:val="20"/>
        </w:rPr>
        <w:t xml:space="preserve">, and net income margin increased to </w:t>
      </w:r>
      <w:r>
        <w:rPr>
          <w:rFonts w:ascii="Arial;sans-serif" w:hAnsi="Arial;sans-serif"/>
          <w:b/>
          <w:color w:val="000000"/>
          <w:sz w:val="20"/>
        </w:rPr>
        <w:t>19%</w:t>
      </w:r>
      <w:r>
        <w:rPr>
          <w:color w:val="000000"/>
        </w:rPr>
        <w:t xml:space="preserve"> </w:t>
      </w:r>
      <w:r>
        <w:rPr>
          <w:rFonts w:ascii="Arial;sans-serif" w:hAnsi="Arial;sans-serif"/>
          <w:b w:val="false"/>
          <w:color w:val="000000"/>
          <w:sz w:val="20"/>
        </w:rPr>
        <w:t xml:space="preserve">from </w:t>
      </w:r>
      <w:r>
        <w:rPr>
          <w:rFonts w:ascii="Arial;sans-serif" w:hAnsi="Arial;sans-serif"/>
          <w:b/>
          <w:color w:val="000000"/>
          <w:sz w:val="20"/>
        </w:rPr>
        <w:t>18%</w:t>
      </w:r>
      <w:r>
        <w:rPr>
          <w:color w:val="000000"/>
        </w:rPr>
        <w:t xml:space="preserve"> </w:t>
      </w:r>
      <w:r>
        <w:rPr>
          <w:rFonts w:ascii="Arial;sans-serif" w:hAnsi="Arial;sans-serif"/>
          <w:b w:val="false"/>
          <w:color w:val="000000"/>
          <w:sz w:val="20"/>
        </w:rPr>
        <w:t>last 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Adjusted EBITDA increased </w:t>
      </w:r>
      <w:r>
        <w:rPr>
          <w:rFonts w:ascii="Arial;sans-serif" w:hAnsi="Arial;sans-serif"/>
          <w:b/>
          <w:color w:val="000000"/>
          <w:sz w:val="20"/>
        </w:rPr>
        <w:t>11%</w:t>
      </w:r>
      <w:r>
        <w:rPr>
          <w:color w:val="000000"/>
        </w:rPr>
        <w:t xml:space="preserve"> </w:t>
      </w:r>
      <w:r>
        <w:rPr>
          <w:rFonts w:ascii="Arial;sans-serif" w:hAnsi="Arial;sans-serif"/>
          <w:b w:val="false"/>
          <w:color w:val="000000"/>
          <w:sz w:val="20"/>
        </w:rPr>
        <w:t xml:space="preserve">to </w:t>
      </w:r>
      <w:r>
        <w:rPr>
          <w:rFonts w:ascii="Arial;sans-serif" w:hAnsi="Arial;sans-serif"/>
          <w:b/>
          <w:color w:val="000000"/>
          <w:sz w:val="20"/>
        </w:rPr>
        <w:t>$167.0 million</w:t>
      </w:r>
      <w:r>
        <w:rPr>
          <w:rFonts w:ascii="Arial;sans-serif" w:hAnsi="Arial;sans-serif"/>
          <w:b w:val="false"/>
          <w:color w:val="000000"/>
          <w:sz w:val="20"/>
        </w:rPr>
        <w:t xml:space="preserve">, and Adjusted EBITDA margin increased to </w:t>
      </w:r>
      <w:r>
        <w:rPr>
          <w:rFonts w:ascii="Arial;sans-serif" w:hAnsi="Arial;sans-serif"/>
          <w:b/>
          <w:color w:val="000000"/>
          <w:sz w:val="20"/>
        </w:rPr>
        <w:t>48%</w:t>
      </w:r>
      <w:r>
        <w:rPr>
          <w:color w:val="000000"/>
        </w:rPr>
        <w:t xml:space="preserve"> </w:t>
      </w:r>
      <w:r>
        <w:rPr>
          <w:rFonts w:ascii="Arial;sans-serif" w:hAnsi="Arial;sans-serif"/>
          <w:b w:val="false"/>
          <w:color w:val="000000"/>
          <w:sz w:val="20"/>
        </w:rPr>
        <w:t xml:space="preserve">from </w:t>
      </w:r>
      <w:r>
        <w:rPr>
          <w:rFonts w:ascii="Arial;sans-serif" w:hAnsi="Arial;sans-serif"/>
          <w:b/>
          <w:color w:val="000000"/>
          <w:sz w:val="20"/>
        </w:rPr>
        <w:t>46%</w:t>
      </w:r>
      <w:r>
        <w:rPr>
          <w:color w:val="000000"/>
        </w:rPr>
        <w:t xml:space="preserve"> </w:t>
      </w:r>
      <w:r>
        <w:rPr>
          <w:rFonts w:ascii="Arial;sans-serif" w:hAnsi="Arial;sans-serif"/>
          <w:b w:val="false"/>
          <w:color w:val="000000"/>
          <w:sz w:val="20"/>
        </w:rPr>
        <w:t>last 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Revenue increased </w:t>
      </w:r>
      <w:r>
        <w:rPr>
          <w:rFonts w:ascii="Arial;sans-serif" w:hAnsi="Arial;sans-serif"/>
          <w:b/>
          <w:color w:val="000000"/>
          <w:sz w:val="20"/>
        </w:rPr>
        <w:t>8%</w:t>
      </w:r>
      <w:r>
        <w:rPr>
          <w:color w:val="000000"/>
        </w:rPr>
        <w:t xml:space="preserve"> </w:t>
      </w:r>
      <w:r>
        <w:rPr>
          <w:rFonts w:ascii="Arial;sans-serif" w:hAnsi="Arial;sans-serif"/>
          <w:b w:val="false"/>
          <w:color w:val="000000"/>
          <w:sz w:val="20"/>
        </w:rPr>
        <w:t xml:space="preserve">to </w:t>
      </w:r>
      <w:r>
        <w:rPr>
          <w:rFonts w:ascii="Arial;sans-serif" w:hAnsi="Arial;sans-serif"/>
          <w:b/>
          <w:color w:val="000000"/>
          <w:sz w:val="20"/>
        </w:rPr>
        <w:t>$350.7 million</w:t>
      </w:r>
      <w:r>
        <w:rPr>
          <w:rFonts w:ascii="Arial;sans-serif" w:hAnsi="Arial;sans-serif"/>
          <w:b w:val="false"/>
          <w:color w:val="000000"/>
          <w:sz w:val="20"/>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Net income per diluted share rose </w:t>
      </w:r>
      <w:r>
        <w:rPr>
          <w:rFonts w:ascii="Arial;sans-serif" w:hAnsi="Arial;sans-serif"/>
          <w:b/>
          <w:color w:val="000000"/>
          <w:sz w:val="20"/>
        </w:rPr>
        <w:t>15%</w:t>
      </w:r>
      <w:r>
        <w:rPr>
          <w:color w:val="000000"/>
        </w:rPr>
        <w:t xml:space="preserve"> </w:t>
      </w:r>
      <w:r>
        <w:rPr>
          <w:rFonts w:ascii="Arial;sans-serif" w:hAnsi="Arial;sans-serif"/>
          <w:b w:val="false"/>
          <w:color w:val="000000"/>
          <w:sz w:val="20"/>
        </w:rPr>
        <w:t xml:space="preserve">to </w:t>
      </w:r>
      <w:r>
        <w:rPr>
          <w:rFonts w:ascii="Arial;sans-serif" w:hAnsi="Arial;sans-serif"/>
          <w:b/>
          <w:color w:val="000000"/>
          <w:sz w:val="20"/>
        </w:rPr>
        <w:t>$0.78</w:t>
      </w:r>
      <w:r>
        <w:rPr>
          <w:color w:val="000000"/>
        </w:rPr>
        <w:t xml:space="preserve"> </w:t>
      </w:r>
      <w:r>
        <w:rPr>
          <w:rFonts w:ascii="Arial;sans-serif" w:hAnsi="Arial;sans-serif"/>
          <w:b w:val="false"/>
          <w:color w:val="000000"/>
          <w:sz w:val="20"/>
        </w:rPr>
        <w:t xml:space="preserve">from </w:t>
      </w:r>
      <w:r>
        <w:rPr>
          <w:rFonts w:ascii="Arial;sans-serif" w:hAnsi="Arial;sans-serif"/>
          <w:b/>
          <w:color w:val="000000"/>
          <w:sz w:val="20"/>
        </w:rPr>
        <w:t>$0.68</w:t>
      </w:r>
      <w:r>
        <w:rPr>
          <w:color w:val="000000"/>
        </w:rPr>
        <w:t xml:space="preserve"> </w:t>
      </w:r>
      <w:r>
        <w:rPr>
          <w:rFonts w:ascii="Arial;sans-serif" w:hAnsi="Arial;sans-serif"/>
          <w:b w:val="false"/>
          <w:color w:val="000000"/>
          <w:sz w:val="20"/>
        </w:rPr>
        <w:t>one year ago, and non-GAAP net income per diluted share</w:t>
      </w:r>
      <w:r>
        <w:rPr>
          <w:color w:val="000000"/>
        </w:rPr>
        <w:t xml:space="preserve"> </w:t>
      </w:r>
      <w:r>
        <w:rPr>
          <w:rFonts w:ascii="Arial;sans-serif" w:hAnsi="Arial;sans-serif"/>
          <w:b w:val="false"/>
          <w:color w:val="000000"/>
          <w:sz w:val="20"/>
        </w:rPr>
        <w:t xml:space="preserve">increased </w:t>
      </w:r>
      <w:r>
        <w:rPr>
          <w:rFonts w:ascii="Arial;sans-serif" w:hAnsi="Arial;sans-serif"/>
          <w:b/>
          <w:color w:val="000000"/>
          <w:sz w:val="20"/>
        </w:rPr>
        <w:t>15%</w:t>
      </w:r>
      <w:r>
        <w:rPr>
          <w:color w:val="000000"/>
        </w:rPr>
        <w:t xml:space="preserve"> </w:t>
      </w:r>
      <w:r>
        <w:rPr>
          <w:rFonts w:ascii="Arial;sans-serif" w:hAnsi="Arial;sans-serif"/>
          <w:b w:val="false"/>
          <w:color w:val="000000"/>
          <w:sz w:val="20"/>
        </w:rPr>
        <w:t xml:space="preserve">to </w:t>
      </w:r>
      <w:r>
        <w:rPr>
          <w:rFonts w:ascii="Arial;sans-serif" w:hAnsi="Arial;sans-serif"/>
          <w:b/>
          <w:color w:val="000000"/>
          <w:sz w:val="20"/>
        </w:rPr>
        <w:t>$1.24</w:t>
      </w:r>
      <w:r>
        <w:rPr>
          <w:rFonts w:ascii="Arial;sans-serif" w:hAnsi="Arial;sans-serif"/>
          <w:b w:val="false"/>
          <w:color w:val="000000"/>
          <w:sz w:val="20"/>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Total HSA Assets grew </w:t>
      </w:r>
      <w:r>
        <w:rPr>
          <w:rFonts w:ascii="Arial;sans-serif" w:hAnsi="Arial;sans-serif"/>
          <w:b/>
          <w:color w:val="000000"/>
          <w:sz w:val="20"/>
        </w:rPr>
        <w:t>14%</w:t>
      </w:r>
      <w:r>
        <w:rPr>
          <w:color w:val="000000"/>
        </w:rPr>
        <w:t xml:space="preserve"> </w:t>
      </w:r>
      <w:r>
        <w:rPr>
          <w:rFonts w:ascii="Arial;sans-serif" w:hAnsi="Arial;sans-serif"/>
          <w:b w:val="false"/>
          <w:color w:val="000000"/>
          <w:sz w:val="20"/>
        </w:rPr>
        <w:t xml:space="preserve">to </w:t>
      </w:r>
      <w:r>
        <w:rPr>
          <w:rFonts w:ascii="Arial;sans-serif" w:hAnsi="Arial;sans-serif"/>
          <w:b/>
          <w:color w:val="000000"/>
          <w:sz w:val="20"/>
        </w:rPr>
        <w:t>$37.9 billion</w:t>
      </w:r>
      <w:r>
        <w:rPr>
          <w:rFonts w:ascii="Arial;sans-serif" w:hAnsi="Arial;sans-serif"/>
          <w:b w:val="false"/>
          <w:color w:val="000000"/>
          <w:sz w:val="20"/>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Returned </w:t>
      </w:r>
      <w:r>
        <w:rPr>
          <w:rFonts w:ascii="Arial;sans-serif" w:hAnsi="Arial;sans-serif"/>
          <w:b/>
          <w:color w:val="000000"/>
          <w:sz w:val="20"/>
        </w:rPr>
        <w:t>$108.1 million</w:t>
      </w:r>
      <w:r>
        <w:rPr>
          <w:color w:val="000000"/>
        </w:rPr>
        <w:t xml:space="preserve"> </w:t>
      </w:r>
      <w:r>
        <w:rPr>
          <w:rFonts w:ascii="Arial;sans-serif" w:hAnsi="Arial;sans-serif"/>
          <w:b w:val="false"/>
          <w:color w:val="000000"/>
          <w:sz w:val="20"/>
        </w:rPr>
        <w:t>to shareholders through stock repurchases.</w:t>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color w:val="000000"/>
          <w:sz w:val="20"/>
        </w:rPr>
        <w:t>Draper, Utah – August 27, 2026</w:t>
      </w:r>
      <w:r>
        <w:rPr>
          <w:color w:val="000000"/>
        </w:rPr>
        <w:t xml:space="preserve"> – </w:t>
      </w:r>
      <w:r>
        <w:rPr>
          <w:rFonts w:ascii="Arial;sans-serif" w:hAnsi="Arial;sans-serif"/>
          <w:b w:val="false"/>
          <w:color w:val="000000"/>
          <w:sz w:val="20"/>
        </w:rPr>
        <w:t>HealthEquity, Inc. (NASDAQ: HQY) ("HealthEquity" or the "Company"), the largest independent health savings account ("HSA") custodian by account volume and a leader in consumer-directed benefits ("CDBs"), today announced financial results for its second quarter ended July 31,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"HealthEquity delivered a record-setting second quarter, with record Adjusted EBITDA margin of 48%, record HSA accounts of 10.7 million and record HSA Assets of nearly $38 billion," said Scott Cutler, President and CEO of HealthEquity. "These results reflect strong execution across the business and the durability of our model as growth comes from more places, member relationships deepen and technology-enabled efficiency improves how we serve members and clients. This momentum gives us confidence to raise fiscal 2027 guidance and enter the second half focused on scaling efficiently and creating long-term value."</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Second quarter financial results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Revenue for the second quarter ended July 31, 2026 was $350.7 million, an increase of 8% compared to $325.8 million for the second quarter ended July 31, 2025. Revenue this quarter included: service revenue of $124.4 million, custodial revenue of $175.9 million, and interchange revenue of $50.4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income was $65.6 million, or $0.78 per diluted share, for the second quarter ended July 31, 2026, compared to $59.9 million, or $0.68 per diluted share, for the second quarter ended July 31, 2025. Net income margin was 19% for the second quarter ended July 31, 2026, compared to 18% for the second quarter ended July 31,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Non-GAAP net income was $103.8 million, or $1.24 per diluted share, for the second quarter ended July 31, 2026, compared to $94.6 million, or $1.08 per diluted share, for the second quarter ended July 31,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$167.0 million for the second quarter ended July 31, 2026, an increase of 11% compared to the second quarter ended July 31, 2025. Adjusted EBITDA was 48% of revenue, compared to 46% for the second quarter ended July 31, 2025.</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Account and asset metrics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New HSAs from sales were 202 thousand, an increase of 24% compared to the second quarter ended July 31, 2025. HSAs as of July 31, 2026 were 10.7 million, an increase of 8% year over year, including 0.9 million HSAs with investments, an increase of 20% year over year. Total Accounts as of July 31, 2026 were 17.8 million, including 7.0 million complementary CDBs.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Total HSA Assets as of July 31, 2026 were $37.9 billion, an increase of 14% year over year. Total HSA Assets included $17.4 billion of HSA cash and $20.6 billion of HSA investments. Client-held funds, which are deposits held on behalf of our Clients to facilitate administration of our CDBs, and from which we generate custodial revenue, were $0.9 billion as of July 31, 2026.</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repurchased 1.2 million shares of its common stock for $108.1 million during the second quarter ended July 31, 2026. As of July 31, 2026, $948.4 million of common stock remained authorized for repurchase under the stock repurchase program.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Business outlook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the fiscal year ending January 31, 2027, management is raising guidance and now expects revenues of $1.411 billion to $1.421 billion. Its outlook for net income is between $242 million and $248 million, resulting in net income of $2.88 to $2.96 per diluted share. Its outlook for non-GAAP net income, calculated using the method described below, is between $392 million and $398 million, resulting in non-GAAP net income per diluted share of $4.66 to $4.73 (based on an estimated 84 million diluted weighted-average shares outstanding). Management expects Adjusted EBITDA of $628 million to $636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“Non-GAAP financial information” below for definitions of our Adjusted EBITDA and non-GAAP net income. A reconciliation of the non-GAAP financial measures used throughout this release to the most comparable GAAP financial measures is included with the financial tables at the end of this release.</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HealthEquity management will host a conference call at 8:30 a.m. (Eastern Time) on Thursday, August 27, 2026 to discuss the fiscal 2027 second quarter financial results. The conference call will be accessible by dialing 1-833-630-1956, or 1-412-317-1837 for international callers, and referencing conference ID "HealthEquity." A live audio webcast of the call will be available on the investor relations section of our website at http://ir.healthequity.com.</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Non-GAAP financial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 supplement our financial information presented on a GAAP basis, we disclose non-GAAP financial measures, including Adjusted EBITDA, non-GAAP net income, and non-GAAP net income per diluted share.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Adjusted EBITDA is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Non-GAAP net income is calculated by adding back to GAAP net income before income taxes the following items: amortization of acquired intangible assets, stock-based compensation expense, merger integration expenses, acquisition costs, gains and losses on equity securities, costs associated with unused office space, and losses on extinguishment of debt, and subtracting a non-GAAP tax provision using a normalized non-GAAP tax rate.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Non-GAAP net income per diluted share is calculated by dividing non-GAAP net income by diluted weighted-average shares outstanding.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Non-GAAP financial measures should be considered in addition to results prepared in accordance with GAAP and should not be considered as a substitute for, or superior to, GAAP results. We believe that these non-GAAP financial measures provide useful information to management and investors regarding certain financial and business trends relating to the Company's financial condition and results of operations. The Company cautions investors that non-GAAP financial information, by its nature, departs from GAAP; accordingly, its use can make it difficult to compare current results with results from other reporting periods and with the results of other companies. In addition, while amortization of acquired intangible assets is being excluded from non-GAAP financial measures, the revenue generated from those acquired intangible assets is not excluded. Whenever we use these non-GAAP financial measures, we provide a reconciliation of the applicable non-GAAP financial measure to the most closely applicable GAAP financial measure. Investors are encouraged to review the related GAAP financial measures and the reconciliation of the non-GAAP financial measures to their most directly comparable GAAP financial measure as detailed in the tables below.</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HealthEquity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HealthEquity and its subsidiaries administer HSAs and other consumer-directed benefits for more than 17 million accounts in partnership with employers, benefits advisors, and health and retirement plan providers who share our mission to save and improve lives by empowering healthcare consumers. For more information, visit www.healthequity.com.</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“safe harbor” provisions of the Private Securities Litigation Reform Act of 1995, including but not limited to, statements regarding our industry, business strategy, plans, goals and expectations concerning our markets and market position, product expansion, future operations, expenses and other results of operations, revenue, margins, profitability, acquisition synergies, future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efficiencies, tax rates, capital expenditures, liquidity and capital resources and other financial and operating information. When used in this discussion, the words “may,” “believes,” “intends,” “seeks,” “aims,” “anticipates,” “plans,” “estimates,” “expects,” “should,” “assumes,” “continues,” “could,” “will,” “future” and the negative of these or similar terms and phrases are intended to identify forward-looking statements in this press release.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be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risks related to the following: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ability to adequately place and safeguard our custodial assets, or the failure of any of our depository or insurance company partners;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ability to compete effectively in a rapidly evolving healthcare and benefits administration industry;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dependence on the continued availability and benefits of tax-advantaged HSAs and other CDBs;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impact of fraudulent account activity involving our member accounts or our third-party service providers on our reputation and financial results;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ability to successfully identify, acquire and integrate additional portfolio purchases or acquisition targets;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significant competition we face and may face in the future, including from those with greater resources than us;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reliance on the availability and performance of our technology and communications systems;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potential future cybersecurity breaches of our technology and communications systems and other data interruptions, including resulting costs and liabilities, reputational damage and loss of business;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the current uncertain healthcare environment, including changes in healthcare programs and expenditures and related regulations;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ability to comply with current and future privacy, healthcare, tax, ERISA, investment adviser and other laws applicable to our business;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reliance on partners and third-party vendors for distribution and important services;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ability to develop and implement updated features for our technology platforms and communications systems;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our reliance on our management team and key team members.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a detailed discussion of these and other risk factors, please refer to the risks detailed in our filings with the Securities and Exchange Commission, including, without limitation, our Annual Report on Form 10-K for the fiscal year ended January 31, 2026 and subsequent periodic and current reports. Past performance is not necessarily indicative of future results. We undertake no intention or obligation to update or revise any forward-looking statements, whether as a result of new information, future events or otherwise. Forward-looking statements should not be relied upon as representing our views as of any date subsequent to the date of this press release.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Investor Relations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Putnam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801-727-1000</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rputnam@healthequity.com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HealthEquity,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729"/>
        <w:gridCol w:w="2309"/>
        <w:gridCol w:w="2315"/>
        <w:gridCol w:w="196"/>
        <w:gridCol w:w="871"/>
        <w:gridCol w:w="109"/>
        <w:gridCol w:w="109"/>
        <w:gridCol w:w="109"/>
        <w:gridCol w:w="109"/>
        <w:gridCol w:w="216"/>
        <w:gridCol w:w="962"/>
        <w:gridCol w:w="171"/>
      </w:tblGrid>
      <w:tr>
        <w:trPr/>
        <w:tc>
          <w:tcPr>
            <w:tcW w:w="272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par value)</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7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net of allowance for doubtful accounts of $1,067 and $924 as of July 31, 2026 and January 31, 2026,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512,281 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1,097,172 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1,648,145 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3,271,363 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3,380,332 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156,850 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957,379 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long-term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1,127,478 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1,116,286 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1,273,136 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$0.0001 par value, 100,000 shares authorized, no shares issued and outstanding as of July 31, 2026 and January 31, 2026,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$0.0001 par value, 900,000 shares authorized, 82,909 and 85,007 shares issued and outstanding as of July 31, 2026 and January 31, 2026,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1,916,989 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2,107,196 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3,271,363 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3,380,332 </w:t>
            </w:r>
          </w:p>
        </w:tc>
        <w:tc>
          <w:tcPr>
            <w:tcW w:w="1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HealthEquity,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866"/>
        <w:gridCol w:w="1571"/>
        <w:gridCol w:w="157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8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 share data)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Custodial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656,679 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Custodial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of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199,773 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456,906 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284,216 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149,001 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shares used in computing 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84,014 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87,746 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88,153 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HealthEquity,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1852"/>
        <w:gridCol w:w="1624"/>
        <w:gridCol w:w="1612"/>
        <w:gridCol w:w="205"/>
        <w:gridCol w:w="676"/>
        <w:gridCol w:w="114"/>
        <w:gridCol w:w="114"/>
        <w:gridCol w:w="114"/>
        <w:gridCol w:w="114"/>
        <w:gridCol w:w="205"/>
        <w:gridCol w:w="676"/>
        <w:gridCol w:w="114"/>
        <w:gridCol w:w="109"/>
        <w:gridCol w:w="109"/>
        <w:gridCol w:w="109"/>
        <w:gridCol w:w="196"/>
        <w:gridCol w:w="736"/>
        <w:gridCol w:w="109"/>
        <w:gridCol w:w="109"/>
        <w:gridCol w:w="109"/>
        <w:gridCol w:w="109"/>
        <w:gridCol w:w="196"/>
        <w:gridCol w:w="736"/>
        <w:gridCol w:w="158"/>
      </w:tblGrid>
      <w:tr>
        <w:trPr/>
        <w:tc>
          <w:tcPr>
            <w:tcW w:w="1852"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5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gains (losses)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net (gains) losses included in net income</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change, net of income tax benefit (expense) of $12,135, $(70), $20,598, and $(70), respectively</w:t>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 (loss)</w:t>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20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28,344 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60,057 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71,717 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113,972 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HealthEquity,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 (unaudited)</w:t>
      </w:r>
    </w:p>
    <w:tbl>
      <w:tblPr>
        <w:tblW w:w="8393" w:type="dxa"/>
        <w:jc w:val="left"/>
        <w:tblInd w:w="0" w:type="dxa"/>
        <w:tblLayout w:type="fixed"/>
        <w:tblCellMar>
          <w:top w:w="28" w:type="dxa"/>
          <w:left w:w="28" w:type="dxa"/>
          <w:bottom w:w="28" w:type="dxa"/>
          <w:right w:w="28" w:type="dxa"/>
        </w:tblCellMar>
      </w:tblPr>
      <w:tblGrid>
        <w:gridCol w:w="2147"/>
        <w:gridCol w:w="1894"/>
        <w:gridCol w:w="1898"/>
        <w:gridCol w:w="196"/>
        <w:gridCol w:w="736"/>
        <w:gridCol w:w="109"/>
        <w:gridCol w:w="109"/>
        <w:gridCol w:w="109"/>
        <w:gridCol w:w="109"/>
        <w:gridCol w:w="196"/>
        <w:gridCol w:w="736"/>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debt discount and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gains on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and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liabilities,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derivatives,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client-held funds obligation,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common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(256,790)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(164,768)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cash and cash equivalents</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304,461 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HealthEquity,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 (unaudited) (continued)</w:t>
      </w:r>
    </w:p>
    <w:tbl>
      <w:tblPr>
        <w:tblW w:w="10205" w:type="dxa"/>
        <w:jc w:val="left"/>
        <w:tblInd w:w="0" w:type="dxa"/>
        <w:tblLayout w:type="fixed"/>
        <w:tblCellMar>
          <w:top w:w="28" w:type="dxa"/>
          <w:left w:w="28" w:type="dxa"/>
          <w:bottom w:w="28" w:type="dxa"/>
          <w:right w:w="28" w:type="dxa"/>
        </w:tblCellMar>
      </w:tblPr>
      <w:tblGrid>
        <w:gridCol w:w="2875"/>
        <w:gridCol w:w="2524"/>
        <w:gridCol w:w="2531"/>
        <w:gridCol w:w="196"/>
        <w:gridCol w:w="646"/>
        <w:gridCol w:w="109"/>
        <w:gridCol w:w="109"/>
        <w:gridCol w:w="109"/>
        <w:gridCol w:w="109"/>
        <w:gridCol w:w="196"/>
        <w:gridCol w:w="646"/>
        <w:gridCol w:w="155"/>
      </w:tblGrid>
      <w:tr>
        <w:trPr/>
        <w:tc>
          <w:tcPr>
            <w:tcW w:w="2875"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7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7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cash flow data:</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paid in 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payments,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disclosures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development costs included in accounts payable, accrued liabilities, or accrued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 included in accounts payable or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 included in 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common stock options receivable</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Stock-based compensation expense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stock-based compensation expense included in the condensed consolidated statements of operations and comprehensive income is as follows:</w:t>
      </w:r>
    </w:p>
    <w:tbl>
      <w:tblPr>
        <w:tblW w:w="8178" w:type="dxa"/>
        <w:jc w:val="left"/>
        <w:tblInd w:w="0" w:type="dxa"/>
        <w:tblLayout w:type="fixed"/>
        <w:tblCellMar>
          <w:top w:w="28" w:type="dxa"/>
          <w:left w:w="28" w:type="dxa"/>
          <w:bottom w:w="28" w:type="dxa"/>
          <w:right w:w="28" w:type="dxa"/>
        </w:tblCellMar>
      </w:tblPr>
      <w:tblGrid>
        <w:gridCol w:w="1149"/>
        <w:gridCol w:w="1014"/>
        <w:gridCol w:w="1017"/>
        <w:gridCol w:w="211"/>
        <w:gridCol w:w="695"/>
        <w:gridCol w:w="117"/>
        <w:gridCol w:w="117"/>
        <w:gridCol w:w="117"/>
        <w:gridCol w:w="117"/>
        <w:gridCol w:w="211"/>
        <w:gridCol w:w="695"/>
        <w:gridCol w:w="117"/>
        <w:gridCol w:w="109"/>
        <w:gridCol w:w="109"/>
        <w:gridCol w:w="109"/>
        <w:gridCol w:w="196"/>
        <w:gridCol w:w="646"/>
        <w:gridCol w:w="109"/>
        <w:gridCol w:w="109"/>
        <w:gridCol w:w="109"/>
        <w:gridCol w:w="109"/>
        <w:gridCol w:w="196"/>
        <w:gridCol w:w="646"/>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development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22,210 </w:t>
            </w:r>
          </w:p>
        </w:tc>
        <w:tc>
          <w:tcPr>
            <w:tcW w:w="1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19,068 </w:t>
            </w:r>
          </w:p>
        </w:tc>
        <w:tc>
          <w:tcPr>
            <w:tcW w:w="1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Total Accounts (unaudited)</w:t>
      </w:r>
    </w:p>
    <w:tbl>
      <w:tblPr>
        <w:tblW w:w="8826" w:type="dxa"/>
        <w:jc w:val="left"/>
        <w:tblInd w:w="0" w:type="dxa"/>
        <w:tblLayout w:type="fixed"/>
        <w:tblCellMar>
          <w:top w:w="28" w:type="dxa"/>
          <w:left w:w="28" w:type="dxa"/>
          <w:bottom w:w="28" w:type="dxa"/>
          <w:right w:w="28" w:type="dxa"/>
        </w:tblCellMar>
      </w:tblPr>
      <w:tblGrid>
        <w:gridCol w:w="1179"/>
        <w:gridCol w:w="1036"/>
        <w:gridCol w:w="1039"/>
        <w:gridCol w:w="369"/>
        <w:gridCol w:w="369"/>
        <w:gridCol w:w="372"/>
        <w:gridCol w:w="109"/>
        <w:gridCol w:w="109"/>
        <w:gridCol w:w="109"/>
        <w:gridCol w:w="369"/>
        <w:gridCol w:w="369"/>
        <w:gridCol w:w="372"/>
        <w:gridCol w:w="109"/>
        <w:gridCol w:w="109"/>
        <w:gridCol w:w="109"/>
        <w:gridCol w:w="210"/>
        <w:gridCol w:w="210"/>
        <w:gridCol w:w="496"/>
        <w:gridCol w:w="109"/>
        <w:gridCol w:w="109"/>
        <w:gridCol w:w="109"/>
        <w:gridCol w:w="425"/>
        <w:gridCol w:w="425"/>
        <w:gridCol w:w="605"/>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3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HSAs</w:t>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10,739 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9,989 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10,570 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HSAs from sales - Quarter-to-date</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HSAs from sales - Year-to-date</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HSAs from acquisitions - Year-to-date</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HSAs with investments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CDBs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7,221 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Accounts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17,791 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Total Accounts - Quarter-to-date</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17,462 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Total Accounts - Year-to-date</w:t>
            </w:r>
          </w:p>
        </w:tc>
        <w:tc>
          <w:tcPr>
            <w:tcW w:w="7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17,772 </w:t>
            </w:r>
          </w:p>
        </w:tc>
        <w:tc>
          <w:tcPr>
            <w:tcW w:w="3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17,083 </w:t>
            </w:r>
          </w:p>
        </w:tc>
        <w:tc>
          <w:tcPr>
            <w:tcW w:w="3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17,220 </w:t>
            </w:r>
          </w:p>
        </w:tc>
        <w:tc>
          <w:tcPr>
            <w:tcW w:w="6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270"/>
        <w:jc w:val="left"/>
        <w:rPr/>
      </w:pPr>
      <w:r>
        <w:rPr>
          <w:rFonts w:ascii="Arial;sans-serif" w:hAnsi="Arial;sans-serif"/>
          <w:b/>
          <w:color w:val="000000"/>
          <w:sz w:val="16"/>
        </w:rPr>
        <w:t>*</w:t>
      </w:r>
      <w:r>
        <w:rPr>
          <w:rFonts w:ascii="Arial;sans-serif" w:hAnsi="Arial;sans-serif"/>
          <w:b w:val="false"/>
          <w:color w:val="000000"/>
          <w:sz w:val="16"/>
        </w:rPr>
        <w:t>Not meaningful</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HSA Assets (unaudited)</w:t>
      </w:r>
    </w:p>
    <w:tbl>
      <w:tblPr>
        <w:tblW w:w="8750" w:type="dxa"/>
        <w:jc w:val="left"/>
        <w:tblInd w:w="0" w:type="dxa"/>
        <w:tblLayout w:type="fixed"/>
        <w:tblCellMar>
          <w:top w:w="28" w:type="dxa"/>
          <w:left w:w="28" w:type="dxa"/>
          <w:bottom w:w="28" w:type="dxa"/>
          <w:right w:w="28" w:type="dxa"/>
        </w:tblCellMar>
      </w:tblPr>
      <w:tblGrid>
        <w:gridCol w:w="1152"/>
        <w:gridCol w:w="1013"/>
        <w:gridCol w:w="1015"/>
        <w:gridCol w:w="228"/>
        <w:gridCol w:w="754"/>
        <w:gridCol w:w="127"/>
        <w:gridCol w:w="109"/>
        <w:gridCol w:w="109"/>
        <w:gridCol w:w="109"/>
        <w:gridCol w:w="228"/>
        <w:gridCol w:w="754"/>
        <w:gridCol w:w="127"/>
        <w:gridCol w:w="109"/>
        <w:gridCol w:w="109"/>
        <w:gridCol w:w="109"/>
        <w:gridCol w:w="210"/>
        <w:gridCol w:w="210"/>
        <w:gridCol w:w="496"/>
        <w:gridCol w:w="109"/>
        <w:gridCol w:w="109"/>
        <w:gridCol w:w="109"/>
        <w:gridCol w:w="286"/>
        <w:gridCol w:w="944"/>
        <w:gridCol w:w="225"/>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percentages)</w:t>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 cash</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17,982 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 investments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HSA Assets</w:t>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37,921 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33,137 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36,464 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HSA cash - Quarter-to-date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HSA cash - Year-to-date</w:t>
            </w:r>
          </w:p>
        </w:tc>
        <w:tc>
          <w:tcPr>
            <w:tcW w:w="9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17,547 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17,149 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17,082 </w:t>
            </w:r>
          </w:p>
        </w:tc>
        <w:tc>
          <w:tcPr>
            <w:tcW w:w="2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20" w:after="60"/>
        <w:jc w:val="left"/>
        <w:rPr>
          <w:rFonts w:ascii="Arial;sans-serif" w:hAnsi="Arial;sans-serif"/>
          <w:b/>
          <w:color w:val="000000"/>
          <w:sz w:val="20"/>
        </w:rPr>
      </w:pPr>
      <w:r>
        <w:rPr>
          <w:rFonts w:ascii="Arial;sans-serif" w:hAnsi="Arial;sans-serif"/>
          <w:b/>
          <w:color w:val="000000"/>
          <w:sz w:val="20"/>
        </w:rPr>
        <w:t>HSA cash maturity schedule</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summarizes the amount of HSA cash held by our depository partners and insurance company partners that is expected to reprice by fiscal year and the respective average annualized yield currently earned on that HSA cash as of July 31, 2026:</w:t>
      </w:r>
    </w:p>
    <w:tbl>
      <w:tblPr>
        <w:tblW w:w="9475" w:type="dxa"/>
        <w:jc w:val="left"/>
        <w:tblInd w:w="0" w:type="dxa"/>
        <w:tblLayout w:type="fixed"/>
        <w:tblCellMar>
          <w:top w:w="28" w:type="dxa"/>
          <w:left w:w="28" w:type="dxa"/>
          <w:bottom w:w="28" w:type="dxa"/>
          <w:right w:w="28" w:type="dxa"/>
        </w:tblCellMar>
      </w:tblPr>
      <w:tblGrid>
        <w:gridCol w:w="1662"/>
        <w:gridCol w:w="1461"/>
        <w:gridCol w:w="1466"/>
        <w:gridCol w:w="615"/>
        <w:gridCol w:w="1468"/>
        <w:gridCol w:w="347"/>
        <w:gridCol w:w="109"/>
        <w:gridCol w:w="109"/>
        <w:gridCol w:w="109"/>
        <w:gridCol w:w="446"/>
        <w:gridCol w:w="446"/>
        <w:gridCol w:w="1237"/>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ending January 31, (in billions, except percentages)</w:t>
            </w:r>
          </w:p>
        </w:tc>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HSA cash expected to reprice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Average annualized yield</w:t>
            </w:r>
          </w:p>
        </w:tc>
      </w:tr>
      <w:tr>
        <w:trPr/>
        <w:tc>
          <w:tcPr>
            <w:tcW w:w="45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2027</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2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2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(1)</w:t>
            </w:r>
          </w:p>
        </w:tc>
        <w:tc>
          <w:tcPr>
            <w:tcW w:w="61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3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2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120"/>
        <w:ind w:left="0" w:right="0" w:hanging="270"/>
        <w:jc w:val="left"/>
        <w:rPr>
          <w:rFonts w:ascii="Arial;sans-serif" w:hAnsi="Arial;sans-serif"/>
          <w:b w:val="false"/>
          <w:color w:val="000000"/>
          <w:sz w:val="16"/>
        </w:rPr>
      </w:pPr>
      <w:r>
        <w:rPr>
          <w:rFonts w:ascii="Arial;sans-serif" w:hAnsi="Arial;sans-serif"/>
          <w:b w:val="false"/>
          <w:color w:val="000000"/>
          <w:sz w:val="16"/>
        </w:rPr>
        <w:t>(1)Excludes $0.7 billion of HSA cash held in floating-rate contracts as of July 31, 2026.</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Client-held funds (unaudited)</w:t>
      </w:r>
    </w:p>
    <w:tbl>
      <w:tblPr>
        <w:tblW w:w="9229" w:type="dxa"/>
        <w:jc w:val="left"/>
        <w:tblInd w:w="0" w:type="dxa"/>
        <w:tblLayout w:type="fixed"/>
        <w:tblCellMar>
          <w:top w:w="28" w:type="dxa"/>
          <w:left w:w="28" w:type="dxa"/>
          <w:bottom w:w="28" w:type="dxa"/>
          <w:right w:w="28" w:type="dxa"/>
        </w:tblCellMar>
      </w:tblPr>
      <w:tblGrid>
        <w:gridCol w:w="1326"/>
        <w:gridCol w:w="1166"/>
        <w:gridCol w:w="1168"/>
        <w:gridCol w:w="299"/>
        <w:gridCol w:w="644"/>
        <w:gridCol w:w="166"/>
        <w:gridCol w:w="109"/>
        <w:gridCol w:w="109"/>
        <w:gridCol w:w="109"/>
        <w:gridCol w:w="299"/>
        <w:gridCol w:w="644"/>
        <w:gridCol w:w="166"/>
        <w:gridCol w:w="109"/>
        <w:gridCol w:w="109"/>
        <w:gridCol w:w="109"/>
        <w:gridCol w:w="210"/>
        <w:gridCol w:w="210"/>
        <w:gridCol w:w="496"/>
        <w:gridCol w:w="109"/>
        <w:gridCol w:w="109"/>
        <w:gridCol w:w="109"/>
        <w:gridCol w:w="314"/>
        <w:gridCol w:w="893"/>
        <w:gridCol w:w="247"/>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percentages)</w:t>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36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Client-held funds</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Client-held funds - Quarter-to-date</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Client-held funds - Year-to-date</w:t>
            </w:r>
          </w:p>
        </w:tc>
        <w:tc>
          <w:tcPr>
            <w:tcW w:w="94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864 </w:t>
            </w:r>
          </w:p>
        </w:tc>
        <w:tc>
          <w:tcPr>
            <w:tcW w:w="2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300"/>
        <w:jc w:val="left"/>
        <w:rPr>
          <w:rFonts w:ascii="Arial;sans-serif" w:hAnsi="Arial;sans-serif"/>
          <w:b/>
          <w:color w:val="000000"/>
          <w:sz w:val="20"/>
        </w:rPr>
      </w:pPr>
      <w:r>
        <w:rPr>
          <w:rFonts w:ascii="Arial;sans-serif" w:hAnsi="Arial;sans-serif"/>
          <w:b/>
          <w:color w:val="000000"/>
          <w:sz w:val="20"/>
        </w:rPr>
        <w:t>Reconciliation of net income to Adjusted EBITDA (unaudited)</w:t>
      </w:r>
    </w:p>
    <w:tbl>
      <w:tblPr>
        <w:tblW w:w="9164" w:type="dxa"/>
        <w:jc w:val="left"/>
        <w:tblInd w:w="0" w:type="dxa"/>
        <w:tblLayout w:type="fixed"/>
        <w:tblCellMar>
          <w:top w:w="28" w:type="dxa"/>
          <w:left w:w="28" w:type="dxa"/>
          <w:bottom w:w="28" w:type="dxa"/>
          <w:right w:w="28" w:type="dxa"/>
        </w:tblCellMar>
      </w:tblPr>
      <w:tblGrid>
        <w:gridCol w:w="1438"/>
        <w:gridCol w:w="1267"/>
        <w:gridCol w:w="126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incremental costs to obtain a contract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associated with unused office space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166,981 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151,074 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331,469 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291,282 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60"/>
        <w:jc w:val="left"/>
        <w:rPr>
          <w:rFonts w:ascii="Arial;sans-serif" w:hAnsi="Arial;sans-serif"/>
          <w:b/>
          <w:color w:val="000000"/>
          <w:sz w:val="20"/>
        </w:rPr>
      </w:pPr>
      <w:r>
        <w:rPr>
          <w:rFonts w:ascii="Arial;sans-serif" w:hAnsi="Arial;sans-serif"/>
          <w:b/>
          <w:color w:val="000000"/>
          <w:sz w:val="20"/>
        </w:rPr>
        <w:t>Net income and Adjusted EBITDA as a percentage of revenue (unaudited)</w:t>
      </w:r>
    </w:p>
    <w:tbl>
      <w:tblPr>
        <w:tblW w:w="11916" w:type="dxa"/>
        <w:jc w:val="left"/>
        <w:tblInd w:w="0" w:type="dxa"/>
        <w:tblLayout w:type="fixed"/>
        <w:tblCellMar>
          <w:top w:w="28" w:type="dxa"/>
          <w:left w:w="28" w:type="dxa"/>
          <w:bottom w:w="28" w:type="dxa"/>
          <w:right w:w="28" w:type="dxa"/>
        </w:tblCellMar>
      </w:tblPr>
      <w:tblGrid>
        <w:gridCol w:w="397"/>
        <w:gridCol w:w="349"/>
        <w:gridCol w:w="350"/>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210"/>
        <w:gridCol w:w="210"/>
        <w:gridCol w:w="496"/>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201"/>
        <w:gridCol w:w="201"/>
        <w:gridCol w:w="559"/>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a percentage of revenue</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Reconciliation of net income outlook to Adjusted EBITDA outlook (unaudited)</w:t>
      </w:r>
    </w:p>
    <w:tbl>
      <w:tblPr>
        <w:tblW w:w="6314" w:type="dxa"/>
        <w:jc w:val="left"/>
        <w:tblInd w:w="0" w:type="dxa"/>
        <w:tblLayout w:type="fixed"/>
        <w:tblCellMar>
          <w:top w:w="28" w:type="dxa"/>
          <w:left w:w="28" w:type="dxa"/>
          <w:bottom w:w="28" w:type="dxa"/>
          <w:right w:w="28" w:type="dxa"/>
        </w:tblCellMar>
      </w:tblPr>
      <w:tblGrid>
        <w:gridCol w:w="1439"/>
        <w:gridCol w:w="1266"/>
        <w:gridCol w:w="1269"/>
        <w:gridCol w:w="685"/>
        <w:gridCol w:w="685"/>
        <w:gridCol w:w="970"/>
      </w:tblGrid>
      <w:tr>
        <w:trPr/>
        <w:tc>
          <w:tcPr>
            <w:tcW w:w="143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Outlook for the year ending</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2027</w:t>
            </w:r>
          </w:p>
        </w:tc>
      </w:tr>
      <w:tr>
        <w:trPr/>
        <w:tc>
          <w:tcPr>
            <w:tcW w:w="3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$242 - 248</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81 - 83</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 expenses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incremental costs to obtain a contract</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associated with unused office space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39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4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$628 - 636</w:t>
            </w:r>
          </w:p>
        </w:tc>
      </w:tr>
    </w:tbl>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Note: Values presented may not calculate due to rounding.</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Reconciliation of net income to non-GAAP net income (unaudited)</w:t>
      </w:r>
    </w:p>
    <w:tbl>
      <w:tblPr>
        <w:tblW w:w="9467" w:type="dxa"/>
        <w:jc w:val="left"/>
        <w:tblInd w:w="0" w:type="dxa"/>
        <w:tblLayout w:type="fixed"/>
        <w:tblCellMar>
          <w:top w:w="28" w:type="dxa"/>
          <w:left w:w="28" w:type="dxa"/>
          <w:bottom w:w="28" w:type="dxa"/>
          <w:right w:w="28" w:type="dxa"/>
        </w:tblCellMar>
      </w:tblPr>
      <w:tblGrid>
        <w:gridCol w:w="1555"/>
        <w:gridCol w:w="1365"/>
        <w:gridCol w:w="1369"/>
        <w:gridCol w:w="211"/>
        <w:gridCol w:w="695"/>
        <w:gridCol w:w="117"/>
        <w:gridCol w:w="117"/>
        <w:gridCol w:w="117"/>
        <w:gridCol w:w="117"/>
        <w:gridCol w:w="211"/>
        <w:gridCol w:w="695"/>
        <w:gridCol w:w="117"/>
        <w:gridCol w:w="109"/>
        <w:gridCol w:w="109"/>
        <w:gridCol w:w="109"/>
        <w:gridCol w:w="196"/>
        <w:gridCol w:w="736"/>
        <w:gridCol w:w="109"/>
        <w:gridCol w:w="109"/>
        <w:gridCol w:w="109"/>
        <w:gridCol w:w="109"/>
        <w:gridCol w:w="196"/>
        <w:gridCol w:w="73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 share data)</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 GAAP</w:t>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87,865 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78,048 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 expenses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associated with unused office space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 to income before income taxes - GAAP</w:t>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50,483 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48,058 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 Non-GAAP</w:t>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138,348 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126,106 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 - Non-GAAP (1)</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w:t>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103,762 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94,580 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shares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net income per diluted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 per diluted share</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(1)The Company utilizes a normalized non-GAAP tax rate to provide better consistency across the interim reporting periods within a given fiscal year by eliminating the effects of non-recurring and period-specific items, which can vary in size and frequency, and which are not necessarily reflective of the Company’s longer-term operations. The normalized non-GAAP tax rate applied to each period presented was 25%. The Company may adjust its non-GAAP tax rate as additional information becomes available and in conjunction with any other significant events occurring that may materially affect this rate, such as merger and acquisition activity, changes in business outlook, or other changes in expectations regarding tax regulations.</w:t>
      </w:r>
    </w:p>
    <w:p>
      <w:pPr>
        <w:pStyle w:val="TextBody"/>
        <w:bidi w:val="0"/>
        <w:spacing w:before="300" w:after="283"/>
        <w:jc w:val="left"/>
        <w:rPr/>
      </w:pPr>
      <w:r>
        <w:rPr/>
      </w:r>
    </w:p>
    <w:p>
      <w:pPr>
        <w:pStyle w:val="TextBody"/>
        <w:bidi w:val="0"/>
        <w:spacing w:before="300" w:after="283"/>
        <w:jc w:val="left"/>
        <w:rPr/>
      </w:pPr>
      <w:r>
        <w:rPr/>
      </w:r>
    </w:p>
    <w:p>
      <w:pPr>
        <w:pStyle w:val="TextBody"/>
        <w:bidi w:val="0"/>
        <w:spacing w:before="300" w:after="283"/>
        <w:jc w:val="left"/>
        <w:rPr/>
      </w:pPr>
      <w:r>
        <w:rPr/>
      </w:r>
    </w:p>
    <w:p>
      <w:pPr>
        <w:pStyle w:val="TextBody"/>
        <w:bidi w:val="0"/>
        <w:spacing w:before="3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Reconciliation of net income outlook to non-GAAP net income outlook (unaudited)</w:t>
      </w:r>
    </w:p>
    <w:tbl>
      <w:tblPr>
        <w:tblW w:w="6630" w:type="dxa"/>
        <w:jc w:val="left"/>
        <w:tblInd w:w="0" w:type="dxa"/>
        <w:tblLayout w:type="fixed"/>
        <w:tblCellMar>
          <w:top w:w="28" w:type="dxa"/>
          <w:left w:w="28" w:type="dxa"/>
          <w:bottom w:w="28" w:type="dxa"/>
          <w:right w:w="28" w:type="dxa"/>
        </w:tblCellMar>
      </w:tblPr>
      <w:tblGrid>
        <w:gridCol w:w="1552"/>
        <w:gridCol w:w="1364"/>
        <w:gridCol w:w="1374"/>
        <w:gridCol w:w="685"/>
        <w:gridCol w:w="685"/>
        <w:gridCol w:w="970"/>
      </w:tblGrid>
      <w:tr>
        <w:trPr/>
        <w:tc>
          <w:tcPr>
            <w:tcW w:w="155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Outlook for the year ending</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 share data)</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2027</w:t>
            </w:r>
          </w:p>
        </w:tc>
      </w:tr>
      <w:tr>
        <w:trPr/>
        <w:tc>
          <w:tcPr>
            <w:tcW w:w="42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$242 - 248</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81 - 83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 GAAP</w:t>
            </w:r>
          </w:p>
        </w:tc>
        <w:tc>
          <w:tcPr>
            <w:tcW w:w="2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323 - 331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 expenses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associated with unused office space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 to income before income taxes - GAAP</w:t>
            </w:r>
          </w:p>
        </w:tc>
        <w:tc>
          <w:tcPr>
            <w:tcW w:w="2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 Non-GAAP</w:t>
            </w:r>
          </w:p>
        </w:tc>
        <w:tc>
          <w:tcPr>
            <w:tcW w:w="23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522 - 530</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 - Non-GAAP (1)</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131 - 133</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w:t>
            </w:r>
          </w:p>
        </w:tc>
        <w:tc>
          <w:tcPr>
            <w:tcW w:w="23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$392 - 398</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shares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net income per diluted share</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$2.88 - 2.96</w:t>
            </w:r>
          </w:p>
        </w:tc>
      </w:tr>
      <w:tr>
        <w:trPr/>
        <w:tc>
          <w:tcPr>
            <w:tcW w:w="42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 per diluted share</w:t>
            </w:r>
          </w:p>
        </w:tc>
        <w:tc>
          <w:tcPr>
            <w:tcW w:w="23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$4.66 - 4.73</w:t>
            </w:r>
          </w:p>
        </w:tc>
      </w:tr>
    </w:tbl>
    <w:p>
      <w:pPr>
        <w:pStyle w:val="TextBody"/>
        <w:bidi w:val="0"/>
        <w:spacing w:lineRule="auto" w:line="288" w:before="60" w:after="60"/>
        <w:ind w:left="0" w:right="0" w:firstLine="360"/>
        <w:jc w:val="left"/>
        <w:rPr>
          <w:rFonts w:ascii="Arial;sans-serif" w:hAnsi="Arial;sans-serif"/>
          <w:b w:val="false"/>
          <w:color w:val="000000"/>
          <w:sz w:val="16"/>
        </w:rPr>
      </w:pPr>
      <w:r>
        <w:rPr>
          <w:rFonts w:ascii="Arial;sans-serif" w:hAnsi="Arial;sans-serif"/>
          <w:b w:val="false"/>
          <w:color w:val="000000"/>
          <w:sz w:val="16"/>
        </w:rPr>
        <w:t>Note: Values presented may not calculate due to rounding.</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(1)The Company utilizes a normalized non-GAAP tax rate to provide better consistency across the interim reporting periods within a given fiscal year by eliminating the effects of non-recurring and period-specific items, which can vary in size and frequency, and which are not necessarily reflective of the Company’s longer-term operations. The normalized non-GAAP tax rate applied to each period presented was 25%. The Company may adjust its non-GAAP tax rate as additional information becomes available and in conjunction with any other significant events occurring that may materially affect this rate, such as merger and acquisition activity, changes in business outlook, or other changes in expectations regarding tax regulations.</w:t>
      </w:r>
    </w:p>
    <w:p>
      <w:pPr>
        <w:pStyle w:val="TextBody"/>
        <w:bidi w:val="0"/>
        <w:spacing w:before="0" w:after="6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Certain terms</w:t>
      </w:r>
    </w:p>
    <w:tbl>
      <w:tblPr>
        <w:tblW w:w="10205" w:type="dxa"/>
        <w:jc w:val="left"/>
        <w:tblInd w:w="0" w:type="dxa"/>
        <w:tblLayout w:type="fixed"/>
        <w:tblCellMar>
          <w:top w:w="28" w:type="dxa"/>
          <w:left w:w="28" w:type="dxa"/>
          <w:bottom w:w="28" w:type="dxa"/>
          <w:right w:w="28" w:type="dxa"/>
        </w:tblCellMar>
      </w:tblPr>
      <w:tblGrid>
        <w:gridCol w:w="624"/>
        <w:gridCol w:w="408"/>
        <w:gridCol w:w="418"/>
        <w:gridCol w:w="2700"/>
        <w:gridCol w:w="2496"/>
        <w:gridCol w:w="3559"/>
      </w:tblGrid>
      <w:tr>
        <w:trPr/>
        <w:tc>
          <w:tcPr>
            <w:tcW w:w="62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59"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Term</w:t>
            </w:r>
          </w:p>
        </w:tc>
        <w:tc>
          <w:tcPr>
            <w:tcW w:w="8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Definition</w:t>
            </w:r>
          </w:p>
        </w:tc>
      </w:tr>
      <w:tr>
        <w:trPr/>
        <w:tc>
          <w:tcPr>
            <w:tcW w:w="14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w:t>
            </w:r>
          </w:p>
        </w:tc>
        <w:tc>
          <w:tcPr>
            <w:tcW w:w="8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Health Savings Account, which is a financial account through which consumers spend and save long-term for healthcare on a tax-advantaged basis.</w:t>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CDB</w:t>
            </w:r>
          </w:p>
        </w:tc>
        <w:tc>
          <w:tcPr>
            <w:tcW w:w="8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Consumer-directed benefits offered by employers, including flexible spending and health reimbursement arrangements (“FSAs” and “HRAs”), Consolidated Omnibus Budget Reconciliation Act (“COBRA”) administration, commuter and other benefits.</w:t>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 member</w:t>
            </w:r>
          </w:p>
        </w:tc>
        <w:tc>
          <w:tcPr>
            <w:tcW w:w="8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Consumers with HSAs that we serve.</w:t>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HSA Assets</w:t>
            </w:r>
          </w:p>
        </w:tc>
        <w:tc>
          <w:tcPr>
            <w:tcW w:w="87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HSA members’ custodial cash assets held by our federally insured depository partners and our insurance company partners. Total HSA Assets also includes HSA members' investments held by our custodial investment fund partner.</w:t>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w:t>
            </w:r>
          </w:p>
        </w:tc>
        <w:tc>
          <w:tcPr>
            <w:tcW w:w="8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Our employer clients.</w:t>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Accounts</w:t>
            </w:r>
          </w:p>
        </w:tc>
        <w:tc>
          <w:tcPr>
            <w:tcW w:w="8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sum of HSAs and CDBs on our platforms.</w:t>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Client-held funds</w:t>
            </w:r>
          </w:p>
        </w:tc>
        <w:tc>
          <w:tcPr>
            <w:tcW w:w="8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 held on behalf of our Clients to facilitate administration of our CDBs.</w:t>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Network Partner</w:t>
            </w:r>
          </w:p>
        </w:tc>
        <w:tc>
          <w:tcPr>
            <w:tcW w:w="8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Our health plan partners, benefits administrators, and retirement plan recordkeepers.</w:t>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875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16"/>
              </w:rPr>
            </w:pPr>
            <w:r>
              <w:rPr>
                <w:rFonts w:ascii="Arial;sans-serif" w:hAnsi="Arial;sans-serif"/>
                <w:b w:val="false"/>
                <w:color w:val="000000"/>
                <w:sz w:val="16"/>
              </w:rPr>
              <w:t>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w:t>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w:t>
            </w:r>
          </w:p>
        </w:tc>
        <w:tc>
          <w:tcPr>
            <w:tcW w:w="875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16"/>
              </w:rPr>
            </w:pPr>
            <w:r>
              <w:rPr>
                <w:rFonts w:ascii="Arial;sans-serif" w:hAnsi="Arial;sans-serif"/>
                <w:b w:val="false"/>
                <w:color w:val="000000"/>
                <w:sz w:val="16"/>
              </w:rPr>
              <w:t>Calculated by adding back to GAAP net income before income taxes the following items: amortization of acquired intangible assets, stock-based compensation expense, merger integration expenses, acquisition costs, gains and losses on equity securities, costs associated with unused office space, and losses on extinguishment of debt, and subtracting a non-GAAP tax provision using a normalized non-GAAP tax rate.</w:t>
            </w:r>
          </w:p>
        </w:tc>
      </w:tr>
      <w:tr>
        <w:trPr/>
        <w:tc>
          <w:tcPr>
            <w:tcW w:w="14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 per diluted share</w:t>
            </w:r>
          </w:p>
        </w:tc>
        <w:tc>
          <w:tcPr>
            <w:tcW w:w="87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Calculated by dividing non-GAAP net income by diluted weighted-average shares outstanding.</w:t>
            </w:r>
          </w:p>
        </w:tc>
      </w:tr>
    </w:tbl>
    <w:p>
      <w:pPr>
        <w:pStyle w:val="TextBody"/>
        <w:bidi w:val="0"/>
        <w:spacing w:before="0" w:after="283"/>
        <w:ind w:left="0" w:right="0" w:hanging="27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4655</Words>
  <Characters>26589</Characters>
  <CharactersWithSpaces>30615</CharactersWithSpaces>
  <Paragraphs>1083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