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0001638683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James M. Lucania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Morgan Stanley Smith Barney</w:t>
              <w:br/>
              <w:t>2000 Westchester Ave</w:t>
              <w:br/>
              <w:t>Purchase   NY   10577-2530</w:t>
            </w:r>
          </w:p>
        </w:tc>
        <w:tc>
          <w:tcPr>
            <w:tcW w:w="1153" w:type="dxa"/>
            <w:tcBorders/>
            <w:vAlign w:val="center"/>
          </w:tcPr>
          <w:p>
            <w:pPr>
              <w:pStyle w:val="TableContents"/>
              <w:bidi w:val="0"/>
              <w:spacing w:before="0" w:after="283"/>
              <w:jc w:val="left"/>
              <w:rPr/>
            </w:pPr>
            <w:r>
              <w:rPr/>
              <w:t>2822</w:t>
            </w:r>
          </w:p>
        </w:tc>
        <w:tc>
          <w:tcPr>
            <w:tcW w:w="1360" w:type="dxa"/>
            <w:tcBorders/>
            <w:vAlign w:val="center"/>
          </w:tcPr>
          <w:p>
            <w:pPr>
              <w:pStyle w:val="TableContents"/>
              <w:bidi w:val="0"/>
              <w:spacing w:before="0" w:after="283"/>
              <w:jc w:val="left"/>
              <w:rPr/>
            </w:pPr>
            <w:r>
              <w:rPr/>
              <w:t>257240.29</w:t>
            </w:r>
          </w:p>
        </w:tc>
        <w:tc>
          <w:tcPr>
            <w:tcW w:w="1538" w:type="dxa"/>
            <w:tcBorders/>
            <w:vAlign w:val="center"/>
          </w:tcPr>
          <w:p>
            <w:pPr>
              <w:pStyle w:val="TableContents"/>
              <w:bidi w:val="0"/>
              <w:spacing w:before="0" w:after="283"/>
              <w:jc w:val="left"/>
              <w:rPr/>
            </w:pPr>
            <w:r>
              <w:rPr/>
              <w:t>82715296</w:t>
            </w:r>
          </w:p>
        </w:tc>
        <w:tc>
          <w:tcPr>
            <w:tcW w:w="1558" w:type="dxa"/>
            <w:tcBorders/>
            <w:vAlign w:val="center"/>
          </w:tcPr>
          <w:p>
            <w:pPr>
              <w:pStyle w:val="TableContents"/>
              <w:bidi w:val="0"/>
              <w:spacing w:before="0" w:after="283"/>
              <w:jc w:val="left"/>
              <w:rPr/>
            </w:pPr>
            <w:r>
              <w:rPr/>
              <w:t>10/06/2026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523</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09/06/2023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1717</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582</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6"/>
        <w:gridCol w:w="930"/>
        <w:gridCol w:w="1543"/>
        <w:gridCol w:w="1737"/>
      </w:tblGrid>
      <w:tr>
        <w:trPr/>
        <w:tc>
          <w:tcPr>
            <w:tcW w:w="3129"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James Lucania</w:t>
              <w:br/>
              <w:t>C/O HealthEquity, Inc.</w:t>
              <w:br/>
              <w:t>15 W.Scenic Pointe Dr. Ste, 100</w:t>
              <w:br/>
              <w:t>Draper   UT   84020</w:t>
            </w:r>
          </w:p>
        </w:tc>
        <w:tc>
          <w:tcPr>
            <w:tcW w:w="2866"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07/08/2026</w:t>
            </w:r>
          </w:p>
        </w:tc>
        <w:tc>
          <w:tcPr>
            <w:tcW w:w="1543" w:type="dxa"/>
            <w:tcBorders/>
            <w:vAlign w:val="center"/>
          </w:tcPr>
          <w:p>
            <w:pPr>
              <w:pStyle w:val="TableContents"/>
              <w:bidi w:val="0"/>
              <w:spacing w:before="0" w:after="283"/>
              <w:jc w:val="left"/>
              <w:rPr/>
            </w:pPr>
            <w:r>
              <w:rPr/>
              <w:t>2839</w:t>
            </w:r>
          </w:p>
        </w:tc>
        <w:tc>
          <w:tcPr>
            <w:tcW w:w="1737" w:type="dxa"/>
            <w:tcBorders/>
            <w:vAlign w:val="center"/>
          </w:tcPr>
          <w:p>
            <w:pPr>
              <w:pStyle w:val="TableContents"/>
              <w:bidi w:val="0"/>
              <w:spacing w:before="0" w:after="283"/>
              <w:jc w:val="left"/>
              <w:rPr/>
            </w:pPr>
            <w:r>
              <w:rPr/>
              <w:t>269940.86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13"/>
        <w:gridCol w:w="9092"/>
      </w:tblGrid>
      <w:tr>
        <w:trPr/>
        <w:tc>
          <w:tcPr>
            <w:tcW w:w="1113" w:type="dxa"/>
            <w:tcBorders/>
            <w:vAlign w:val="center"/>
          </w:tcPr>
          <w:p>
            <w:pPr>
              <w:pStyle w:val="TableContents"/>
              <w:bidi w:val="0"/>
              <w:spacing w:before="0" w:after="283"/>
              <w:jc w:val="left"/>
              <w:rPr/>
            </w:pPr>
            <w:r>
              <w:rPr/>
              <w:t>Remarks</w:t>
            </w:r>
          </w:p>
        </w:tc>
        <w:tc>
          <w:tcPr>
            <w:tcW w:w="9092" w:type="dxa"/>
            <w:tcBorders/>
            <w:vAlign w:val="center"/>
          </w:tcPr>
          <w:p>
            <w:pPr>
              <w:pStyle w:val="TableContents"/>
              <w:bidi w:val="0"/>
              <w:spacing w:before="0" w:after="0"/>
              <w:jc w:val="left"/>
              <w:rPr/>
            </w:pPr>
            <w:r>
              <w:rPr/>
              <w:t xml:space="preserve">This sale is mandated by the Issuer's election under its equity incentive plan to require the satisfaction of a tax withholding obligation to be funded by a "sell to cover" transaction and does not represent a discretionary trade by the reporting person. The Power of Attorney given by Mr. Lucania was previously filed with the U.S. Securities and Exchange Commission on January 10, 2025 as an exhibit to a statement on Form 144 filed by Mr. Lucania with respect to HealthEquity, Inc. and is hereby incorporated by reference. </w:t>
            </w:r>
          </w:p>
        </w:tc>
      </w:tr>
      <w:tr>
        <w:trPr/>
        <w:tc>
          <w:tcPr>
            <w:tcW w:w="1113" w:type="dxa"/>
            <w:tcBorders/>
            <w:vAlign w:val="center"/>
          </w:tcPr>
          <w:p>
            <w:pPr>
              <w:pStyle w:val="TableContents"/>
              <w:bidi w:val="0"/>
              <w:spacing w:before="0" w:after="283"/>
              <w:jc w:val="left"/>
              <w:rPr/>
            </w:pPr>
            <w:r>
              <w:rPr/>
              <w:t>Date of Notice</w:t>
            </w:r>
          </w:p>
        </w:tc>
        <w:tc>
          <w:tcPr>
            <w:tcW w:w="9092"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13" w:type="dxa"/>
            <w:tcBorders/>
            <w:vAlign w:val="center"/>
          </w:tcPr>
          <w:p>
            <w:pPr>
              <w:pStyle w:val="TableContents"/>
              <w:bidi w:val="0"/>
              <w:spacing w:before="0" w:after="283"/>
              <w:jc w:val="left"/>
              <w:rPr/>
            </w:pPr>
            <w:r>
              <w:rPr/>
              <w:t>Signature</w:t>
            </w:r>
          </w:p>
        </w:tc>
        <w:tc>
          <w:tcPr>
            <w:tcW w:w="9092" w:type="dxa"/>
            <w:tcBorders/>
            <w:vAlign w:val="center"/>
          </w:tcPr>
          <w:p>
            <w:pPr>
              <w:pStyle w:val="TableContents"/>
              <w:bidi w:val="0"/>
              <w:spacing w:before="0" w:after="0"/>
              <w:jc w:val="left"/>
              <w:rPr/>
            </w:pPr>
            <w:r>
              <w:rPr/>
              <w:t>/s/ Michael Newton ,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3684</Characters>
  <CharactersWithSpaces>4331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