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82026_091040.xml.htm"/>
      <w:bookmarkStart w:id="1" w:name="ksform410082026_0910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Cutler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9"/>
        <w:gridCol w:w="903"/>
        <w:gridCol w:w="773"/>
        <w:gridCol w:w="600"/>
        <w:gridCol w:w="346"/>
        <w:gridCol w:w="838"/>
        <w:gridCol w:w="448"/>
        <w:gridCol w:w="925"/>
        <w:gridCol w:w="1152"/>
        <w:gridCol w:w="990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1,230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91.1553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175,175</w:t>
            </w:r>
          </w:p>
        </w:tc>
        <w:tc>
          <w:tcPr>
            <w:tcW w:w="9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given by Mr. Cutler was previously filed with the U.S. Securities and Exchange Commission on January 10, 2025 as an exhibit to a statement on Form 3 filed by Mr. Cutler with respect to HealthEquity, Inc. and is hereby incorporated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Newton,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5537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614</Words>
  <Characters>3319</Characters>
  <CharactersWithSpaces>3864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