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0001614838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Stephen Neeleman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63" w:type="dxa"/>
            <w:tcBorders/>
            <w:vAlign w:val="center"/>
          </w:tcPr>
          <w:p>
            <w:pPr>
              <w:pStyle w:val="TableContents"/>
              <w:bidi w:val="0"/>
              <w:spacing w:before="0" w:after="0"/>
              <w:jc w:val="left"/>
              <w:rPr/>
            </w:pPr>
            <w:r>
              <w:rPr/>
              <w:t>Morgan Stanley Smith Barney</w:t>
              <w:br/>
              <w:t>2000 Westchester Ave</w:t>
              <w:br/>
              <w:t>Purchase   NY   10577-2530</w:t>
            </w:r>
          </w:p>
        </w:tc>
        <w:tc>
          <w:tcPr>
            <w:tcW w:w="1153" w:type="dxa"/>
            <w:tcBorders/>
            <w:vAlign w:val="center"/>
          </w:tcPr>
          <w:p>
            <w:pPr>
              <w:pStyle w:val="TableContents"/>
              <w:bidi w:val="0"/>
              <w:spacing w:before="0" w:after="283"/>
              <w:jc w:val="left"/>
              <w:rPr/>
            </w:pPr>
            <w:r>
              <w:rPr/>
              <w:t>1095</w:t>
            </w:r>
          </w:p>
        </w:tc>
        <w:tc>
          <w:tcPr>
            <w:tcW w:w="1360" w:type="dxa"/>
            <w:tcBorders/>
            <w:vAlign w:val="center"/>
          </w:tcPr>
          <w:p>
            <w:pPr>
              <w:pStyle w:val="TableContents"/>
              <w:bidi w:val="0"/>
              <w:spacing w:before="0" w:after="283"/>
              <w:jc w:val="left"/>
              <w:rPr/>
            </w:pPr>
            <w:r>
              <w:rPr/>
              <w:t>99815.07</w:t>
            </w:r>
          </w:p>
        </w:tc>
        <w:tc>
          <w:tcPr>
            <w:tcW w:w="1538" w:type="dxa"/>
            <w:tcBorders/>
            <w:vAlign w:val="center"/>
          </w:tcPr>
          <w:p>
            <w:pPr>
              <w:pStyle w:val="TableContents"/>
              <w:bidi w:val="0"/>
              <w:spacing w:before="0" w:after="283"/>
              <w:jc w:val="left"/>
              <w:rPr/>
            </w:pPr>
            <w:r>
              <w:rPr/>
              <w:t>82715296</w:t>
            </w:r>
          </w:p>
        </w:tc>
        <w:tc>
          <w:tcPr>
            <w:tcW w:w="1558" w:type="dxa"/>
            <w:tcBorders/>
            <w:vAlign w:val="center"/>
          </w:tcPr>
          <w:p>
            <w:pPr>
              <w:pStyle w:val="TableContents"/>
              <w:bidi w:val="0"/>
              <w:spacing w:before="0" w:after="283"/>
              <w:jc w:val="left"/>
              <w:rPr/>
            </w:pPr>
            <w:r>
              <w:rPr/>
              <w:t>10/06/2026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03/29/2023</w:t>
            </w:r>
          </w:p>
        </w:tc>
        <w:tc>
          <w:tcPr>
            <w:tcW w:w="1430" w:type="dxa"/>
            <w:tcBorders/>
            <w:vAlign w:val="center"/>
          </w:tcPr>
          <w:p>
            <w:pPr>
              <w:pStyle w:val="TableContents"/>
              <w:bidi w:val="0"/>
              <w:spacing w:before="0" w:after="283"/>
              <w:jc w:val="left"/>
              <w:rPr/>
            </w:pPr>
            <w:r>
              <w:rPr/>
              <w:t xml:space="preserve">Restricted Stock Vesting </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410</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03/27/2024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300</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04/02/2025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385</w:t>
            </w:r>
          </w:p>
        </w:tc>
        <w:tc>
          <w:tcPr>
            <w:tcW w:w="1046" w:type="dxa"/>
            <w:tcBorders/>
            <w:vAlign w:val="center"/>
          </w:tcPr>
          <w:p>
            <w:pPr>
              <w:pStyle w:val="TableContents"/>
              <w:bidi w:val="0"/>
              <w:spacing w:before="0" w:after="283"/>
              <w:jc w:val="left"/>
              <w:rPr/>
            </w:pPr>
            <w:r>
              <w:rPr/>
              <w:t>10/06/2026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6"/>
        <w:gridCol w:w="930"/>
        <w:gridCol w:w="1543"/>
        <w:gridCol w:w="1737"/>
      </w:tblGrid>
      <w:tr>
        <w:trPr/>
        <w:tc>
          <w:tcPr>
            <w:tcW w:w="3129"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7"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 xml:space="preserve">Stephen Neeleman </w:t>
              <w:br/>
              <w:t>C/O HealthEquity, Inc.</w:t>
              <w:br/>
              <w:t>15 W.Scenic Pointe Dr. Ste, 100</w:t>
              <w:br/>
              <w:t>Draper   UT   84020</w:t>
            </w:r>
          </w:p>
        </w:tc>
        <w:tc>
          <w:tcPr>
            <w:tcW w:w="2866" w:type="dxa"/>
            <w:tcBorders/>
            <w:vAlign w:val="center"/>
          </w:tcPr>
          <w:p>
            <w:pPr>
              <w:pStyle w:val="TableContents"/>
              <w:bidi w:val="0"/>
              <w:spacing w:before="0" w:after="283"/>
              <w:jc w:val="left"/>
              <w:rPr/>
            </w:pPr>
            <w:r>
              <w:rPr/>
              <w:t xml:space="preserve">Common Stock </w:t>
            </w:r>
          </w:p>
        </w:tc>
        <w:tc>
          <w:tcPr>
            <w:tcW w:w="930" w:type="dxa"/>
            <w:tcBorders/>
            <w:vAlign w:val="center"/>
          </w:tcPr>
          <w:p>
            <w:pPr>
              <w:pStyle w:val="TableContents"/>
              <w:bidi w:val="0"/>
              <w:spacing w:before="0" w:after="283"/>
              <w:jc w:val="left"/>
              <w:rPr/>
            </w:pPr>
            <w:r>
              <w:rPr/>
              <w:t>07/08/2026</w:t>
            </w:r>
          </w:p>
        </w:tc>
        <w:tc>
          <w:tcPr>
            <w:tcW w:w="1543" w:type="dxa"/>
            <w:tcBorders/>
            <w:vAlign w:val="center"/>
          </w:tcPr>
          <w:p>
            <w:pPr>
              <w:pStyle w:val="TableContents"/>
              <w:bidi w:val="0"/>
              <w:spacing w:before="0" w:after="283"/>
              <w:jc w:val="left"/>
              <w:rPr/>
            </w:pPr>
            <w:r>
              <w:rPr/>
              <w:t>1103</w:t>
            </w:r>
          </w:p>
        </w:tc>
        <w:tc>
          <w:tcPr>
            <w:tcW w:w="1737" w:type="dxa"/>
            <w:tcBorders/>
            <w:vAlign w:val="center"/>
          </w:tcPr>
          <w:p>
            <w:pPr>
              <w:pStyle w:val="TableContents"/>
              <w:bidi w:val="0"/>
              <w:spacing w:before="0" w:after="283"/>
              <w:jc w:val="left"/>
              <w:rPr/>
            </w:pPr>
            <w:r>
              <w:rPr/>
              <w:t>104876.64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5"/>
        <w:gridCol w:w="8830"/>
      </w:tblGrid>
      <w:tr>
        <w:trPr/>
        <w:tc>
          <w:tcPr>
            <w:tcW w:w="1375" w:type="dxa"/>
            <w:tcBorders/>
            <w:vAlign w:val="center"/>
          </w:tcPr>
          <w:p>
            <w:pPr>
              <w:pStyle w:val="TableContents"/>
              <w:bidi w:val="0"/>
              <w:spacing w:before="0" w:after="283"/>
              <w:jc w:val="left"/>
              <w:rPr/>
            </w:pPr>
            <w:r>
              <w:rPr/>
              <w:t>Remarks</w:t>
            </w:r>
          </w:p>
        </w:tc>
        <w:tc>
          <w:tcPr>
            <w:tcW w:w="8830" w:type="dxa"/>
            <w:tcBorders/>
            <w:vAlign w:val="center"/>
          </w:tcPr>
          <w:p>
            <w:pPr>
              <w:pStyle w:val="TableContents"/>
              <w:bidi w:val="0"/>
              <w:spacing w:before="0" w:after="0"/>
              <w:jc w:val="left"/>
              <w:rPr/>
            </w:pPr>
            <w:r>
              <w:rPr/>
              <w:t>This sale is mandated by the Issuer's election under its equity incentive plan to require the satisfaction of a tax withholding obligation to be funded by a "sell to cover" transaction and does not represent a discretionary trade by the reporting person.</w:t>
            </w:r>
          </w:p>
        </w:tc>
      </w:tr>
      <w:tr>
        <w:trPr/>
        <w:tc>
          <w:tcPr>
            <w:tcW w:w="1375" w:type="dxa"/>
            <w:tcBorders/>
            <w:vAlign w:val="center"/>
          </w:tcPr>
          <w:p>
            <w:pPr>
              <w:pStyle w:val="TableContents"/>
              <w:bidi w:val="0"/>
              <w:spacing w:before="0" w:after="283"/>
              <w:jc w:val="left"/>
              <w:rPr/>
            </w:pPr>
            <w:r>
              <w:rPr/>
              <w:t>Date of Notice</w:t>
            </w:r>
          </w:p>
        </w:tc>
        <w:tc>
          <w:tcPr>
            <w:tcW w:w="8830" w:type="dxa"/>
            <w:tcBorders/>
            <w:vAlign w:val="center"/>
          </w:tcPr>
          <w:p>
            <w:pPr>
              <w:pStyle w:val="TableContents"/>
              <w:bidi w:val="0"/>
              <w:spacing w:before="0" w:after="0"/>
              <w:jc w:val="left"/>
              <w:rPr/>
            </w:pPr>
            <w:r>
              <w:rPr/>
              <w:t>10/08/2026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5" w:type="dxa"/>
            <w:tcBorders/>
            <w:vAlign w:val="center"/>
          </w:tcPr>
          <w:p>
            <w:pPr>
              <w:pStyle w:val="TableContents"/>
              <w:bidi w:val="0"/>
              <w:spacing w:before="0" w:after="283"/>
              <w:jc w:val="left"/>
              <w:rPr/>
            </w:pPr>
            <w:r>
              <w:rPr/>
              <w:t>Signature</w:t>
            </w:r>
          </w:p>
        </w:tc>
        <w:tc>
          <w:tcPr>
            <w:tcW w:w="8830" w:type="dxa"/>
            <w:tcBorders/>
            <w:vAlign w:val="center"/>
          </w:tcPr>
          <w:p>
            <w:pPr>
              <w:pStyle w:val="TableContents"/>
              <w:bidi w:val="0"/>
              <w:spacing w:before="0" w:after="0"/>
              <w:jc w:val="left"/>
              <w:rPr/>
            </w:pPr>
            <w:r>
              <w:rPr/>
              <w:t>/s/ Stephen Neeleman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3474</Characters>
  <CharactersWithSpaces>4075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