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90918.xml.htm"/>
      <w:bookmarkStart w:id="1" w:name="ksform409182026_090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Neeleman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HEALTHEQUITY, INC.</w:t>
              </w:r>
            </w:hyperlink>
            <w:r>
              <w:rPr/>
              <w:t xml:space="preserve"> [ </w:t>
            </w:r>
            <w:r>
              <w:rPr>
                <w:rFonts w:ascii="Times;serif" w:hAnsi="Times;serif"/>
                <w:color w:val="0000FF"/>
                <w:sz w:val="24"/>
                <w:shd w:fill="FFFFFF" w:val="clear"/>
              </w:rPr>
              <w:t>HQY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FOUNDER AND VICE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53"/>
        <w:gridCol w:w="460"/>
        <w:gridCol w:w="623"/>
        <w:gridCol w:w="1173"/>
        <w:gridCol w:w="1005"/>
        <w:gridCol w:w="10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137,565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408,235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203,000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of record by the Stephen and Christine Neeleman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beneficially owned by the Reporting Person's spouse.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of record by Neeleman Family Holdings, LLC ("Family Holdings"), a Utah limited liability company. The reporting person is the manager of Family Holdings. The reporting person disclaims beneficial ownership of the shares held by Family Holdings except to the extent of his pecuniary interest therein and this report shall not be deemed an admission that the reporting person is the beneficial owner of the shares held by Family Holdings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Neeleman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838" TargetMode="External"/><Relationship Id="rId5" Type="http://schemas.openxmlformats.org/officeDocument/2006/relationships/hyperlink" Target="http://www.sec.gov/cgi-bin/browse-edgar?action=getcompany&amp;CIK=00014283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4140</Characters>
  <CharactersWithSpaces>4801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