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 xml:space="preserve">Form 10-Q </w:t>
      </w:r>
    </w:p>
    <w:tbl>
      <w:tblPr>
        <w:tblW w:w="9716" w:type="dxa"/>
        <w:jc w:val="center"/>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July 31, 2026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Commission file number: 001-36568 </w:t>
      </w:r>
    </w:p>
    <w:tbl>
      <w:tblPr>
        <w:tblW w:w="5127" w:type="dxa"/>
        <w:jc w:val="center"/>
        <w:tblInd w:w="0" w:type="dxa"/>
        <w:tblLayout w:type="fixed"/>
        <w:tblCellMar>
          <w:top w:w="28" w:type="dxa"/>
          <w:left w:w="28" w:type="dxa"/>
          <w:bottom w:w="28" w:type="dxa"/>
          <w:right w:w="28" w:type="dxa"/>
        </w:tblCellMar>
      </w:tblPr>
      <w:tblGrid>
        <w:gridCol w:w="610"/>
        <w:gridCol w:w="536"/>
        <w:gridCol w:w="536"/>
        <w:gridCol w:w="536"/>
        <w:gridCol w:w="536"/>
        <w:gridCol w:w="536"/>
        <w:gridCol w:w="536"/>
        <w:gridCol w:w="536"/>
        <w:gridCol w:w="765"/>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7" w:type="dxa"/>
            <w:gridSpan w:val="9"/>
            <w:tcBorders/>
            <w:tcMar>
              <w:top w:w="0" w:type="dxa"/>
              <w:left w:w="0" w:type="dxa"/>
              <w:bottom w:w="0" w:type="dxa"/>
              <w:right w:w="0" w:type="dxa"/>
            </w:tcMar>
            <w:vAlign w:val="center"/>
          </w:tcPr>
          <w:p>
            <w:pPr>
              <w:pStyle w:val="TableContents"/>
              <w:bidi w:val="0"/>
              <w:spacing w:lineRule="auto" w:line="240" w:before="40" w:after="283"/>
              <w:jc w:val="center"/>
              <w:rPr>
                <w:rFonts w:ascii="Arial;sans-serif" w:hAnsi="Arial;sans-serif"/>
                <w:b/>
                <w:color w:val="000000"/>
                <w:sz w:val="48"/>
              </w:rPr>
            </w:pPr>
            <w:r>
              <w:rPr>
                <w:rFonts w:ascii="Arial;sans-serif" w:hAnsi="Arial;sans-serif"/>
                <w:b/>
                <w:color w:val="000000"/>
                <w:sz w:val="48"/>
              </w:rPr>
              <w:t>HEALTHEQUITY, INC.</w:t>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4971" w:type="dxa"/>
        <w:jc w:val="center"/>
        <w:tblInd w:w="0" w:type="dxa"/>
        <w:tblLayout w:type="fixed"/>
        <w:tblCellMar>
          <w:top w:w="28" w:type="dxa"/>
          <w:left w:w="28" w:type="dxa"/>
          <w:bottom w:w="28" w:type="dxa"/>
          <w:right w:w="28" w:type="dxa"/>
        </w:tblCellMar>
      </w:tblPr>
      <w:tblGrid>
        <w:gridCol w:w="815"/>
        <w:gridCol w:w="715"/>
        <w:gridCol w:w="720"/>
        <w:gridCol w:w="109"/>
        <w:gridCol w:w="109"/>
        <w:gridCol w:w="109"/>
        <w:gridCol w:w="109"/>
        <w:gridCol w:w="109"/>
        <w:gridCol w:w="109"/>
        <w:gridCol w:w="109"/>
        <w:gridCol w:w="109"/>
        <w:gridCol w:w="109"/>
        <w:gridCol w:w="508"/>
        <w:gridCol w:w="508"/>
        <w:gridCol w:w="724"/>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52-2383166</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Number)</w:t>
            </w:r>
          </w:p>
        </w:tc>
      </w:tr>
    </w:tbl>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 xml:space="preserve">15 West Scenic Pointe Drive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Suite 100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Draper, Utah 84020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6"/>
        </w:rPr>
        <w:t>(</w:t>
      </w:r>
      <w:r>
        <w:rPr>
          <w:rFonts w:ascii="Arial;sans-serif" w:hAnsi="Arial;sans-serif"/>
          <w:b w:val="false"/>
          <w:color w:val="000000"/>
          <w:sz w:val="16"/>
        </w:rPr>
        <w:t>801</w:t>
      </w:r>
      <w:r>
        <w:rPr>
          <w:rFonts w:ascii="Arial;sans-serif" w:hAnsi="Arial;sans-serif"/>
          <w:b/>
          <w:color w:val="000000"/>
          <w:sz w:val="16"/>
        </w:rPr>
        <w:t xml:space="preserve">) </w:t>
      </w:r>
      <w:r>
        <w:rPr>
          <w:rFonts w:ascii="Arial;sans-serif" w:hAnsi="Arial;sans-serif"/>
          <w:b w:val="false"/>
          <w:color w:val="000000"/>
          <w:sz w:val="16"/>
        </w:rPr>
        <w:t>727-1000</w:t>
      </w:r>
      <w:r>
        <w:rPr>
          <w:color w:val="000000"/>
        </w:rPr>
        <w:t xml:space="preserve">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608" w:type="dxa"/>
        <w:jc w:val="left"/>
        <w:tblInd w:w="0" w:type="dxa"/>
        <w:tblLayout w:type="fixed"/>
        <w:tblCellMar>
          <w:top w:w="28" w:type="dxa"/>
          <w:left w:w="28" w:type="dxa"/>
          <w:bottom w:w="28" w:type="dxa"/>
          <w:right w:w="28" w:type="dxa"/>
        </w:tblCellMar>
      </w:tblPr>
      <w:tblGrid>
        <w:gridCol w:w="1220"/>
        <w:gridCol w:w="1071"/>
        <w:gridCol w:w="1084"/>
        <w:gridCol w:w="524"/>
        <w:gridCol w:w="524"/>
        <w:gridCol w:w="526"/>
        <w:gridCol w:w="1071"/>
        <w:gridCol w:w="1071"/>
        <w:gridCol w:w="1517"/>
      </w:tblGrid>
      <w:tr>
        <w:trPr/>
        <w:tc>
          <w:tcPr>
            <w:tcW w:w="122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$0.0001 per share</w:t>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HQY</w:t>
            </w:r>
          </w:p>
        </w:tc>
        <w:tc>
          <w:tcPr>
            <w:tcW w:w="3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bidi w:val="0"/>
        <w:spacing w:lineRule="auto" w:line="288" w:before="0" w:after="0"/>
        <w:jc w:val="left"/>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4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22"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693"/>
        <w:gridCol w:w="693"/>
        <w:gridCol w:w="698"/>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As of August 20, 2026, there were 82,715,296 shares of the registrant's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HealthEquity, Inc. and subsidiaries</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Form 10-Q quarterly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Table of contents</w:t>
      </w:r>
    </w:p>
    <w:tbl>
      <w:tblPr>
        <w:tblW w:w="10205" w:type="dxa"/>
        <w:jc w:val="left"/>
        <w:tblInd w:w="0" w:type="dxa"/>
        <w:tblLayout w:type="fixed"/>
        <w:tblCellMar>
          <w:top w:w="28" w:type="dxa"/>
          <w:left w:w="28" w:type="dxa"/>
          <w:bottom w:w="28" w:type="dxa"/>
          <w:right w:w="28" w:type="dxa"/>
        </w:tblCellMar>
      </w:tblPr>
      <w:tblGrid>
        <w:gridCol w:w="453"/>
        <w:gridCol w:w="397"/>
        <w:gridCol w:w="397"/>
        <w:gridCol w:w="2872"/>
        <w:gridCol w:w="2744"/>
        <w:gridCol w:w="2753"/>
        <w:gridCol w:w="171"/>
        <w:gridCol w:w="171"/>
        <w:gridCol w:w="247"/>
      </w:tblGrid>
      <w:tr>
        <w:trPr/>
        <w:tc>
          <w:tcPr>
            <w:tcW w:w="45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Page</w:t>
            </w:r>
          </w:p>
        </w:tc>
      </w:tr>
      <w:tr>
        <w:trPr/>
        <w:tc>
          <w:tcPr>
            <w:tcW w:w="96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 I. FINANCIAL INFORMATION</w:t>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 </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10">
              <w:r>
                <w:rPr>
                  <w:rStyle w:val="InternetLink"/>
                  <w:rFonts w:ascii="Arial;sans-serif" w:hAnsi="Arial;sans-serif"/>
                  <w:b w:val="false"/>
                  <w:color w:val="0000FF"/>
                  <w:sz w:val="18"/>
                  <w:u w:val="single"/>
                </w:rPr>
                <w:t>Financial statements</w:t>
              </w:r>
            </w:hyperlink>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10">
              <w:r>
                <w:rPr>
                  <w:rStyle w:val="InternetLink"/>
                  <w:rFonts w:ascii="Arial;sans-serif" w:hAnsi="Arial;sans-serif"/>
                  <w:b w:val="false"/>
                  <w:color w:val="0000FF"/>
                  <w:sz w:val="18"/>
                  <w:u w:val="single"/>
                </w:rPr>
                <w:t>Condensed consolidated balance sheets as of July 31, 2026 (unaudited) and January 31, 2026</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10">
              <w:r>
                <w:rPr>
                  <w:rStyle w:val="InternetLink"/>
                  <w:rFonts w:ascii="Arial;sans-serif" w:hAnsi="Arial;sans-serif"/>
                  <w:b w:val="false"/>
                  <w:color w:val="0000FF"/>
                  <w:sz w:val="18"/>
                  <w:u w:val="single"/>
                </w:rPr>
                <w:t>3</w:t>
              </w:r>
            </w:hyperlink>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13">
              <w:r>
                <w:rPr>
                  <w:rStyle w:val="InternetLink"/>
                  <w:rFonts w:ascii="Arial;sans-serif" w:hAnsi="Arial;sans-serif"/>
                  <w:b w:val="false"/>
                  <w:color w:val="0000FF"/>
                  <w:sz w:val="18"/>
                  <w:u w:val="single"/>
                </w:rPr>
                <w:t>Condensed consolidated statements of operations for the three and six months ended July 31, 2026 and 2025 (unaudited)</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13">
              <w:r>
                <w:rPr>
                  <w:rStyle w:val="InternetLink"/>
                  <w:rFonts w:ascii="Arial;sans-serif" w:hAnsi="Arial;sans-serif"/>
                  <w:b w:val="false"/>
                  <w:color w:val="0000FF"/>
                  <w:sz w:val="18"/>
                  <w:u w:val="single"/>
                </w:rPr>
                <w:t>4</w:t>
              </w:r>
            </w:hyperlink>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16">
              <w:r>
                <w:rPr>
                  <w:rStyle w:val="InternetLink"/>
                  <w:rFonts w:ascii="Arial;sans-serif" w:hAnsi="Arial;sans-serif"/>
                  <w:b w:val="false"/>
                  <w:color w:val="0000FF"/>
                  <w:sz w:val="18"/>
                  <w:u w:val="single"/>
                </w:rPr>
                <w:t>Condensed consolidated statements of comprehensive income for the three and six months ended July 31, 2026 and 2025 (unaudited)</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16">
              <w:r>
                <w:rPr>
                  <w:rStyle w:val="InternetLink"/>
                  <w:rFonts w:ascii="Arial;sans-serif" w:hAnsi="Arial;sans-serif"/>
                  <w:b w:val="false"/>
                  <w:color w:val="0000FF"/>
                  <w:sz w:val="18"/>
                  <w:u w:val="single"/>
                </w:rPr>
                <w:t>5</w:t>
              </w:r>
            </w:hyperlink>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19">
              <w:r>
                <w:rPr>
                  <w:rStyle w:val="InternetLink"/>
                  <w:rFonts w:ascii="Arial;sans-serif" w:hAnsi="Arial;sans-serif"/>
                  <w:b w:val="false"/>
                  <w:color w:val="0000FF"/>
                  <w:sz w:val="18"/>
                  <w:u w:val="single"/>
                </w:rPr>
                <w:t>Condensed consolidated statements of stockholders' equity for the three and six months ended July 31, 2026 and 2025 (unaudited)</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19">
              <w:r>
                <w:rPr>
                  <w:rStyle w:val="InternetLink"/>
                  <w:rFonts w:ascii="Arial;sans-serif" w:hAnsi="Arial;sans-serif"/>
                  <w:b w:val="false"/>
                  <w:color w:val="0000FF"/>
                  <w:sz w:val="18"/>
                  <w:u w:val="single"/>
                </w:rPr>
                <w:t>6</w:t>
              </w:r>
            </w:hyperlink>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22">
              <w:r>
                <w:rPr>
                  <w:rStyle w:val="InternetLink"/>
                  <w:rFonts w:ascii="Arial;sans-serif" w:hAnsi="Arial;sans-serif"/>
                  <w:b w:val="false"/>
                  <w:color w:val="0000FF"/>
                  <w:sz w:val="18"/>
                  <w:u w:val="single"/>
                </w:rPr>
                <w:t>Condensed consolidated statements of cash flows for the six months ended July 31, 2026 and 2025 (unaudited)</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22">
              <w:r>
                <w:rPr>
                  <w:rStyle w:val="InternetLink"/>
                  <w:rFonts w:ascii="Arial;sans-serif" w:hAnsi="Arial;sans-serif"/>
                  <w:b w:val="false"/>
                  <w:color w:val="0000FF"/>
                  <w:sz w:val="18"/>
                  <w:u w:val="single"/>
                </w:rPr>
                <w:t>7</w:t>
              </w:r>
            </w:hyperlink>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25">
              <w:r>
                <w:rPr>
                  <w:rStyle w:val="InternetLink"/>
                  <w:rFonts w:ascii="Arial;sans-serif" w:hAnsi="Arial;sans-serif"/>
                  <w:b w:val="false"/>
                  <w:color w:val="0000FF"/>
                  <w:sz w:val="18"/>
                  <w:u w:val="single"/>
                </w:rPr>
                <w:t>Notes to condensed consolidated financial statements (unaudited)</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25">
              <w:r>
                <w:rPr>
                  <w:rStyle w:val="InternetLink"/>
                  <w:rFonts w:ascii="Arial;sans-serif" w:hAnsi="Arial;sans-serif"/>
                  <w:b w:val="false"/>
                  <w:color w:val="0000FF"/>
                  <w:sz w:val="18"/>
                  <w:u w:val="single"/>
                </w:rPr>
                <w:t>9</w:t>
              </w:r>
            </w:hyperlink>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2. </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67">
              <w:r>
                <w:rPr>
                  <w:rStyle w:val="InternetLink"/>
                  <w:rFonts w:ascii="Arial;sans-serif" w:hAnsi="Arial;sans-serif"/>
                  <w:b w:val="false"/>
                  <w:color w:val="0000FF"/>
                  <w:sz w:val="18"/>
                  <w:u w:val="single"/>
                </w:rPr>
                <w:t>Management's discussion and analysis of financial condition and results of operations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67">
              <w:r>
                <w:rPr>
                  <w:rStyle w:val="InternetLink"/>
                  <w:rFonts w:ascii="Arial;sans-serif" w:hAnsi="Arial;sans-serif"/>
                  <w:b w:val="false"/>
                  <w:color w:val="0000FF"/>
                  <w:sz w:val="18"/>
                  <w:u w:val="single"/>
                </w:rPr>
                <w:t>20</w:t>
              </w:r>
            </w:hyperlink>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91">
              <w:r>
                <w:rPr>
                  <w:rStyle w:val="InternetLink"/>
                  <w:rFonts w:ascii="Arial;sans-serif" w:hAnsi="Arial;sans-serif"/>
                  <w:b w:val="false"/>
                  <w:color w:val="0000FF"/>
                  <w:sz w:val="18"/>
                  <w:u w:val="single"/>
                </w:rPr>
                <w:t>Quantitative and qualitative disclosures about market risk</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91">
              <w:r>
                <w:rPr>
                  <w:rStyle w:val="InternetLink"/>
                  <w:rFonts w:ascii="Arial;sans-serif" w:hAnsi="Arial;sans-serif"/>
                  <w:b w:val="false"/>
                  <w:color w:val="0000FF"/>
                  <w:sz w:val="18"/>
                  <w:u w:val="single"/>
                </w:rPr>
                <w:t>35</w:t>
              </w:r>
            </w:hyperlink>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4. </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94">
              <w:r>
                <w:rPr>
                  <w:rStyle w:val="InternetLink"/>
                  <w:rFonts w:ascii="Arial;sans-serif" w:hAnsi="Arial;sans-serif"/>
                  <w:b w:val="false"/>
                  <w:color w:val="0000FF"/>
                  <w:sz w:val="18"/>
                  <w:u w:val="single"/>
                </w:rPr>
                <w:t>Controls and procedures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94">
              <w:r>
                <w:rPr>
                  <w:rStyle w:val="InternetLink"/>
                  <w:rFonts w:ascii="Arial;sans-serif" w:hAnsi="Arial;sans-serif"/>
                  <w:b w:val="false"/>
                  <w:color w:val="0000FF"/>
                  <w:sz w:val="18"/>
                  <w:u w:val="single"/>
                </w:rPr>
                <w:t>36</w:t>
              </w:r>
            </w:hyperlink>
          </w:p>
        </w:tc>
      </w:tr>
      <w:tr>
        <w:trPr/>
        <w:tc>
          <w:tcPr>
            <w:tcW w:w="96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 II. OTHER INFORMATION</w:t>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 </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100">
              <w:r>
                <w:rPr>
                  <w:rStyle w:val="InternetLink"/>
                  <w:rFonts w:ascii="Arial;sans-serif" w:hAnsi="Arial;sans-serif"/>
                  <w:b w:val="false"/>
                  <w:color w:val="0000FF"/>
                  <w:sz w:val="18"/>
                  <w:u w:val="single"/>
                </w:rPr>
                <w:t>Legal proceedings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100">
              <w:r>
                <w:rPr>
                  <w:rStyle w:val="InternetLink"/>
                  <w:rFonts w:ascii="Arial;sans-serif" w:hAnsi="Arial;sans-serif"/>
                  <w:b w:val="false"/>
                  <w:color w:val="0000FF"/>
                  <w:sz w:val="18"/>
                  <w:u w:val="single"/>
                </w:rPr>
                <w:t>38</w:t>
              </w:r>
            </w:hyperlink>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1A. </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103">
              <w:r>
                <w:rPr>
                  <w:rStyle w:val="InternetLink"/>
                  <w:rFonts w:ascii="Arial;sans-serif" w:hAnsi="Arial;sans-serif"/>
                  <w:b w:val="false"/>
                  <w:color w:val="0000FF"/>
                  <w:sz w:val="18"/>
                  <w:u w:val="single"/>
                </w:rPr>
                <w:t>Risk factors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103">
              <w:r>
                <w:rPr>
                  <w:rStyle w:val="InternetLink"/>
                  <w:rFonts w:ascii="Arial;sans-serif" w:hAnsi="Arial;sans-serif"/>
                  <w:b w:val="false"/>
                  <w:color w:val="0000FF"/>
                  <w:sz w:val="18"/>
                  <w:u w:val="single"/>
                </w:rPr>
                <w:t>38</w:t>
              </w:r>
            </w:hyperlink>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360" w:after="120"/>
              <w:jc w:val="left"/>
              <w:rPr>
                <w:rFonts w:ascii="Arial;sans-serif" w:hAnsi="Arial;sans-serif"/>
                <w:b w:val="false"/>
                <w:color w:val="000000"/>
                <w:sz w:val="18"/>
              </w:rPr>
            </w:pPr>
            <w:r>
              <w:rPr>
                <w:rFonts w:ascii="Arial;sans-serif" w:hAnsi="Arial;sans-serif"/>
                <w:b w:val="false"/>
                <w:color w:val="000000"/>
                <w:sz w:val="18"/>
              </w:rPr>
              <w:t>Item 2.</w:t>
            </w:r>
          </w:p>
        </w:tc>
        <w:tc>
          <w:tcPr>
            <w:tcW w:w="8369" w:type="dxa"/>
            <w:gridSpan w:val="3"/>
            <w:tcBorders/>
            <w:tcMar>
              <w:top w:w="0" w:type="dxa"/>
              <w:left w:w="0" w:type="dxa"/>
              <w:bottom w:w="0" w:type="dxa"/>
              <w:right w:w="0" w:type="dxa"/>
            </w:tcMar>
            <w:vAlign w:val="center"/>
          </w:tcPr>
          <w:p>
            <w:pPr>
              <w:pStyle w:val="TableContents"/>
              <w:bidi w:val="0"/>
              <w:spacing w:lineRule="auto" w:line="240" w:before="360" w:after="120"/>
              <w:jc w:val="left"/>
              <w:rPr/>
            </w:pPr>
            <w:hyperlink w:anchor="i3ccbd90a3add4d59ba0524d62c31baf0_106">
              <w:r>
                <w:rPr>
                  <w:rStyle w:val="InternetLink"/>
                  <w:rFonts w:ascii="Arial;sans-serif" w:hAnsi="Arial;sans-serif"/>
                  <w:b w:val="false"/>
                  <w:color w:val="0000FF"/>
                  <w:sz w:val="18"/>
                  <w:u w:val="single"/>
                </w:rPr>
                <w:t>Unregistered sales of equity securities and use of proceeds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106">
              <w:r>
                <w:rPr>
                  <w:rStyle w:val="InternetLink"/>
                  <w:rFonts w:ascii="Arial;sans-serif" w:hAnsi="Arial;sans-serif"/>
                  <w:b w:val="false"/>
                  <w:color w:val="0000FF"/>
                  <w:sz w:val="18"/>
                  <w:u w:val="single"/>
                </w:rPr>
                <w:t>38</w:t>
              </w:r>
            </w:hyperlink>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109">
              <w:r>
                <w:rPr>
                  <w:rStyle w:val="InternetLink"/>
                  <w:rFonts w:ascii="Arial;sans-serif" w:hAnsi="Arial;sans-serif"/>
                  <w:b w:val="false"/>
                  <w:color w:val="0000FF"/>
                  <w:sz w:val="18"/>
                  <w:u w:val="single"/>
                </w:rPr>
                <w:t>Other information</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109">
              <w:r>
                <w:rPr>
                  <w:rStyle w:val="InternetLink"/>
                  <w:rFonts w:ascii="Arial;sans-serif" w:hAnsi="Arial;sans-serif"/>
                  <w:b w:val="false"/>
                  <w:color w:val="0000FF"/>
                  <w:sz w:val="18"/>
                  <w:u w:val="single"/>
                </w:rPr>
                <w:t>38</w:t>
              </w:r>
            </w:hyperlink>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6. </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115">
              <w:r>
                <w:rPr>
                  <w:rStyle w:val="InternetLink"/>
                  <w:rFonts w:ascii="Arial;sans-serif" w:hAnsi="Arial;sans-serif"/>
                  <w:b w:val="false"/>
                  <w:color w:val="0000FF"/>
                  <w:sz w:val="18"/>
                  <w:u w:val="single"/>
                </w:rPr>
                <w:t>Exhibits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115">
              <w:r>
                <w:rPr>
                  <w:rStyle w:val="InternetLink"/>
                  <w:rFonts w:ascii="Arial;sans-serif" w:hAnsi="Arial;sans-serif"/>
                  <w:b w:val="false"/>
                  <w:color w:val="0000FF"/>
                  <w:sz w:val="18"/>
                  <w:u w:val="single"/>
                </w:rPr>
                <w:t>39</w:t>
              </w:r>
            </w:hyperlink>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ccbd90a3add4d59ba0524d62c31baf0_118">
              <w:r>
                <w:rPr>
                  <w:rStyle w:val="InternetLink"/>
                  <w:rFonts w:ascii="Arial;sans-serif" w:hAnsi="Arial;sans-serif"/>
                  <w:b w:val="false"/>
                  <w:color w:val="0000FF"/>
                  <w:sz w:val="18"/>
                  <w:u w:val="single"/>
                </w:rPr>
                <w:t>Signatures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cbd90a3add4d59ba0524d62c31baf0_118">
              <w:r>
                <w:rPr>
                  <w:rStyle w:val="InternetLink"/>
                  <w:rFonts w:ascii="Arial;sans-serif" w:hAnsi="Arial;sans-serif"/>
                  <w:b w:val="false"/>
                  <w:color w:val="0000FF"/>
                  <w:sz w:val="18"/>
                  <w:u w:val="single"/>
                </w:rPr>
                <w:t>40</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 xml:space="preserve">Part I. Financial information </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Item 1.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 xml:space="preserve">HealthEquity, Inc. and subsidiaries </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Condensed consolidated balance sheets</w:t>
      </w:r>
    </w:p>
    <w:tbl>
      <w:tblPr>
        <w:tblW w:w="10205" w:type="dxa"/>
        <w:jc w:val="left"/>
        <w:tblInd w:w="0" w:type="dxa"/>
        <w:tblLayout w:type="fixed"/>
        <w:tblCellMar>
          <w:top w:w="28" w:type="dxa"/>
          <w:left w:w="28" w:type="dxa"/>
          <w:bottom w:w="28" w:type="dxa"/>
          <w:right w:w="28" w:type="dxa"/>
        </w:tblCellMar>
      </w:tblPr>
      <w:tblGrid>
        <w:gridCol w:w="2729"/>
        <w:gridCol w:w="2309"/>
        <w:gridCol w:w="2315"/>
        <w:gridCol w:w="196"/>
        <w:gridCol w:w="871"/>
        <w:gridCol w:w="109"/>
        <w:gridCol w:w="109"/>
        <w:gridCol w:w="109"/>
        <w:gridCol w:w="109"/>
        <w:gridCol w:w="216"/>
        <w:gridCol w:w="962"/>
        <w:gridCol w:w="171"/>
      </w:tblGrid>
      <w:tr>
        <w:trPr/>
        <w:tc>
          <w:tcPr>
            <w:tcW w:w="272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par value)</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r>
      <w:tr>
        <w:trPr/>
        <w:tc>
          <w:tcPr>
            <w:tcW w:w="7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318,927 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net of allowance for doubtful accounts of $1,067 and $924 as of July 31, 2026 and January 31, 2026,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512,281 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3,177 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1,097,172 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1,648,145 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3,271,363 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3,380,332 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156,850 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 of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957,379 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long-term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1,127,478 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1,116,286 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1,273,136 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(see Note 5)</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$0.0001 par value, 100,000 shares authorized, no shares issued and outstanding as of July 31, 2026 and January 31, 2026,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$0.0001 par value, 900,000 shares authorized, 82,909 and 85,007 shares issued and outstanding as of July 31, 2026 and January 31, 2026,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1,916,989 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2,107,196 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3,271,363 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3,380,332 </w:t>
            </w:r>
          </w:p>
        </w:tc>
        <w:tc>
          <w:tcPr>
            <w:tcW w:w="1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16"/>
        </w:rPr>
      </w:pPr>
      <w:r>
        <w:rPr>
          <w:rFonts w:ascii="Arial;sans-serif" w:hAnsi="Arial;sans-serif"/>
          <w:b w:val="false"/>
          <w:i/>
          <w:color w:val="000000"/>
          <w:sz w:val="16"/>
        </w:rPr>
        <w:t>See accompanying notes to condensed consolidated financial statements.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HealthEquity, Inc. and subsidiaries</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1866"/>
        <w:gridCol w:w="1571"/>
        <w:gridCol w:w="1576"/>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86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 share data)</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50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237,657 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Custodial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350,732 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656,679 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Custodial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 of revenue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199,773 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257,954 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456,906 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integration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284,216 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172,690 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(23,689)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149,001 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shares used in computing net income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84,014 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87,746 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84,578 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88,153 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16"/>
        </w:rPr>
      </w:pPr>
      <w:r>
        <w:rPr>
          <w:rFonts w:ascii="Arial;sans-serif" w:hAnsi="Arial;sans-serif"/>
          <w:b w:val="false"/>
          <w:i/>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HealthEquity, Inc. and subsidiaries</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Condensed consolidated statements of comprehensive income (unaudited)</w:t>
      </w:r>
    </w:p>
    <w:tbl>
      <w:tblPr>
        <w:tblW w:w="10205" w:type="dxa"/>
        <w:jc w:val="left"/>
        <w:tblInd w:w="0" w:type="dxa"/>
        <w:tblLayout w:type="fixed"/>
        <w:tblCellMar>
          <w:top w:w="28" w:type="dxa"/>
          <w:left w:w="28" w:type="dxa"/>
          <w:bottom w:w="28" w:type="dxa"/>
          <w:right w:w="28" w:type="dxa"/>
        </w:tblCellMar>
      </w:tblPr>
      <w:tblGrid>
        <w:gridCol w:w="1852"/>
        <w:gridCol w:w="1624"/>
        <w:gridCol w:w="1612"/>
        <w:gridCol w:w="205"/>
        <w:gridCol w:w="676"/>
        <w:gridCol w:w="114"/>
        <w:gridCol w:w="114"/>
        <w:gridCol w:w="114"/>
        <w:gridCol w:w="114"/>
        <w:gridCol w:w="205"/>
        <w:gridCol w:w="676"/>
        <w:gridCol w:w="114"/>
        <w:gridCol w:w="109"/>
        <w:gridCol w:w="109"/>
        <w:gridCol w:w="109"/>
        <w:gridCol w:w="196"/>
        <w:gridCol w:w="736"/>
        <w:gridCol w:w="109"/>
        <w:gridCol w:w="109"/>
        <w:gridCol w:w="109"/>
        <w:gridCol w:w="109"/>
        <w:gridCol w:w="196"/>
        <w:gridCol w:w="736"/>
        <w:gridCol w:w="158"/>
      </w:tblGrid>
      <w:tr>
        <w:trPr/>
        <w:tc>
          <w:tcPr>
            <w:tcW w:w="1852"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5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50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 hedges</w:t>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gains (losses)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net (gains) losses included in net income</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change, net of income tax benefit (expense) of $12,135, $(70), $20,598, and $(70), respectively</w:t>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(37,300)</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income (loss)</w:t>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(37,300)</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20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28,344 </w:t>
            </w:r>
          </w:p>
        </w:tc>
        <w:tc>
          <w:tcPr>
            <w:tcW w:w="1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60,057 </w:t>
            </w:r>
          </w:p>
        </w:tc>
        <w:tc>
          <w:tcPr>
            <w:tcW w:w="1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71,717 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113,972 </w:t>
            </w:r>
          </w:p>
        </w:tc>
        <w:tc>
          <w:tcPr>
            <w:tcW w:w="1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16"/>
        </w:rPr>
      </w:pPr>
      <w:r>
        <w:rPr>
          <w:rFonts w:ascii="Arial;sans-serif" w:hAnsi="Arial;sans-serif"/>
          <w:b w:val="false"/>
          <w:i/>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HealthEquity, Inc. and subsidiaries</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 xml:space="preserve">Condensed consolidated statements of stockholders’ equity (unaudited) </w:t>
      </w:r>
    </w:p>
    <w:tbl>
      <w:tblPr>
        <w:tblW w:w="9465" w:type="dxa"/>
        <w:jc w:val="left"/>
        <w:tblInd w:w="0" w:type="dxa"/>
        <w:tblLayout w:type="fixed"/>
        <w:tblCellMar>
          <w:top w:w="28" w:type="dxa"/>
          <w:left w:w="28" w:type="dxa"/>
          <w:bottom w:w="28" w:type="dxa"/>
          <w:right w:w="28" w:type="dxa"/>
        </w:tblCellMar>
      </w:tblPr>
      <w:tblGrid>
        <w:gridCol w:w="1350"/>
        <w:gridCol w:w="1191"/>
        <w:gridCol w:w="1194"/>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7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 beginning balance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2,047,395 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2,123,806 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2,114,911 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1,901,935 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1,919,312 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earnings: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 ending balance</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1,990,110 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2,146,421 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1,990,110 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2,146,421 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16"/>
        </w:rPr>
      </w:pPr>
      <w:r>
        <w:rPr>
          <w:rFonts w:ascii="Arial;sans-serif" w:hAnsi="Arial;sans-serif"/>
          <w:b w:val="false"/>
          <w:i/>
          <w:color w:val="000000"/>
          <w:sz w:val="16"/>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HealthEquity, Inc. and subsidiaries</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Condensed consolidated statements of cash flows (unaudited)</w:t>
      </w:r>
    </w:p>
    <w:tbl>
      <w:tblPr>
        <w:tblW w:w="8393" w:type="dxa"/>
        <w:jc w:val="left"/>
        <w:tblInd w:w="0" w:type="dxa"/>
        <w:tblLayout w:type="fixed"/>
        <w:tblCellMar>
          <w:top w:w="28" w:type="dxa"/>
          <w:left w:w="28" w:type="dxa"/>
          <w:bottom w:w="28" w:type="dxa"/>
          <w:right w:w="28" w:type="dxa"/>
        </w:tblCellMar>
      </w:tblPr>
      <w:tblGrid>
        <w:gridCol w:w="2147"/>
        <w:gridCol w:w="1894"/>
        <w:gridCol w:w="1898"/>
        <w:gridCol w:w="196"/>
        <w:gridCol w:w="736"/>
        <w:gridCol w:w="109"/>
        <w:gridCol w:w="109"/>
        <w:gridCol w:w="109"/>
        <w:gridCol w:w="109"/>
        <w:gridCol w:w="196"/>
        <w:gridCol w:w="736"/>
        <w:gridCol w:w="154"/>
      </w:tblGrid>
      <w:tr>
        <w:trPr/>
        <w:tc>
          <w:tcPr>
            <w:tcW w:w="2147"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59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of debt discount and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gains on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and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accrued liabilities,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200,604 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derivatives,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(27,323)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client-held funds obligation,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exercise of common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(256,790)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(164,768)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cash and cash equivalents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cash and cash equivalents</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304,461 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16"/>
        </w:rPr>
      </w:pPr>
      <w:r>
        <w:rPr>
          <w:rFonts w:ascii="Arial;sans-serif" w:hAnsi="Arial;sans-serif"/>
          <w:b w:val="false"/>
          <w:i/>
          <w:color w:val="000000"/>
          <w:sz w:val="16"/>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8"/>
        </w:rPr>
      </w:pPr>
      <w:r>
        <w:rPr>
          <w:rFonts w:ascii="Arial;sans-serif" w:hAnsi="Arial;sans-serif"/>
          <w:b/>
          <w:color w:val="000000"/>
          <w:sz w:val="28"/>
        </w:rPr>
        <w:t>HealthEquity, Inc. and subsidiaries</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Condensed consolidated statements of cash flows (unaudited) (continued)</w:t>
      </w:r>
    </w:p>
    <w:tbl>
      <w:tblPr>
        <w:tblW w:w="10205" w:type="dxa"/>
        <w:jc w:val="left"/>
        <w:tblInd w:w="0" w:type="dxa"/>
        <w:tblLayout w:type="fixed"/>
        <w:tblCellMar>
          <w:top w:w="28" w:type="dxa"/>
          <w:left w:w="28" w:type="dxa"/>
          <w:bottom w:w="28" w:type="dxa"/>
          <w:right w:w="28" w:type="dxa"/>
        </w:tblCellMar>
      </w:tblPr>
      <w:tblGrid>
        <w:gridCol w:w="2875"/>
        <w:gridCol w:w="2524"/>
        <w:gridCol w:w="2531"/>
        <w:gridCol w:w="196"/>
        <w:gridCol w:w="646"/>
        <w:gridCol w:w="109"/>
        <w:gridCol w:w="109"/>
        <w:gridCol w:w="109"/>
        <w:gridCol w:w="109"/>
        <w:gridCol w:w="196"/>
        <w:gridCol w:w="646"/>
        <w:gridCol w:w="155"/>
      </w:tblGrid>
      <w:tr>
        <w:trPr/>
        <w:tc>
          <w:tcPr>
            <w:tcW w:w="2875"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7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7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cash flow data:</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paid in cash</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payments,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disclosures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 development costs included in accounts payable, accrued liabilities, or accrued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 included in accounts payable or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 included in accrued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common stock options receivable</w:t>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16"/>
        </w:rPr>
      </w:pPr>
      <w:r>
        <w:rPr>
          <w:rFonts w:ascii="Arial;sans-serif" w:hAnsi="Arial;sans-serif"/>
          <w:b w:val="false"/>
          <w:i/>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HealthEquity, Inc. and subsidiaries</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Notes to condensed consolidated financial statements (unaudited)</w:t>
      </w:r>
    </w:p>
    <w:p>
      <w:pPr>
        <w:pStyle w:val="TextBody"/>
        <w:bidi w:val="0"/>
        <w:spacing w:lineRule="auto" w:line="288" w:before="180" w:after="120"/>
        <w:jc w:val="left"/>
        <w:rPr/>
      </w:pPr>
      <w:r>
        <w:rPr>
          <w:rFonts w:ascii="Arial;sans-serif" w:hAnsi="Arial;sans-serif"/>
          <w:b/>
          <w:color w:val="000000"/>
          <w:sz w:val="24"/>
        </w:rPr>
        <w:t xml:space="preserve">Note 1. </w:t>
      </w:r>
      <w:r>
        <w:rPr>
          <w:rFonts w:ascii="Arial;sans-serif" w:hAnsi="Arial;sans-serif"/>
          <w:b/>
          <w:color w:val="000000"/>
          <w:sz w:val="24"/>
          <w:u w:val="single"/>
        </w:rPr>
        <w:t xml:space="preserve">Summary of business and significant accounting policies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Business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HealthEquity, Inc. ("HealthEquity" or the "Company") was incorporated in the state of Delaware on September 18, 2002. HealthEquity is a leader in administering health savings accounts (“HSAs”) and complementary consumer-directed benefits (“CDBs”), which empower consumers to access tax-advantaged healthcare savings while also providing corporate tax advantages for employers.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Principles of consolidation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consolidates entities in which the Company has a controlling financial interest, which includes all of its wholly owned direct and indirect subsidiaries. All significant intercompany accounts and transactions have been eliminated in consolidation.</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Segments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managed as a single operating segment that provides administration services in connection with HSAs and other CDBs, which reflects the way in which its chief operating decision maker (“CODM”), the Chief Executive Officer, reviews the Company's financial performance and makes decisions about resource allocation. The CODM assesses the performance of the Company, monitors actual financial results against budgets, and makes resource allocation decisions with a focus on the Company’s consolidated results as presented in the condensed consolidated statements of operations. The Company’s measure of profitability is net income. Single segment-level financial information, including total assets, significant non-cash transactions, and capital expenditures, is contained in the accompanying condensed consolidated financial statements and related notes.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does not generate international revenues. All long-lived assets are maintained in the United States of America.</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Basis of presentation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accompanying condensed consolidated financial statements as of July 31, 2026 and for the three and six months ended July 31, 2026 and 2025 are unaudited and have been prepared in conformity with accounting principles generally accepted in the United States of America ("GAAP") and the applicable rules and regulations of the Securities and Exchange Commission ("SEC") regarding interim financial reporting. In the opinion of management, the interim data includes all adjustments necessary for a fair presentation of the results for the interim periods. Certain information and note disclosures normally included in annual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Company's Annual Report on Form 10-K for the fiscal year ended January 31, 2026. The fiscal year-end condensed consolidated balance sheet data was derived from audited financial statements but does not include all disclosures required by GAAP.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Significant accounting policies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There have been no material changes in the Company’s significant accounting policies as compared to the significant accounting policies described in the Company’s Annual Report on Form 10-K for the fiscal year ended January 31, 2026.</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Recently issued accounting pronouncements not yet adopted</w:t>
      </w:r>
    </w:p>
    <w:p>
      <w:pPr>
        <w:pStyle w:val="TextBody"/>
        <w:bidi w:val="0"/>
        <w:spacing w:lineRule="auto" w:line="288" w:before="120" w:after="120"/>
        <w:jc w:val="left"/>
        <w:rPr/>
      </w:pPr>
      <w:r>
        <w:rPr>
          <w:rFonts w:ascii="Arial;sans-serif" w:hAnsi="Arial;sans-serif"/>
          <w:b w:val="false"/>
          <w:color w:val="000000"/>
          <w:sz w:val="20"/>
        </w:rPr>
        <w:t xml:space="preserve">In November 2024, the Financial Accounting Standards Board ("FASB") issued Accounting Standards Update ("ASU") 2024-03, </w:t>
      </w:r>
      <w:r>
        <w:rPr>
          <w:rFonts w:ascii="Arial;sans-serif" w:hAnsi="Arial;sans-serif"/>
          <w:b w:val="false"/>
          <w:i/>
          <w:color w:val="000000"/>
          <w:sz w:val="20"/>
        </w:rPr>
        <w:t>Income Statement - Reporting Comprehensive Income - Expense Disaggregation Disclosures (Subtopic 220-40): Disaggregation of Income Statement Expenses</w:t>
      </w:r>
      <w:r>
        <w:rPr>
          <w:rFonts w:ascii="Arial;sans-serif" w:hAnsi="Arial;sans-serif"/>
          <w:b w:val="false"/>
          <w:color w:val="000000"/>
          <w:sz w:val="20"/>
        </w:rPr>
        <w:t xml:space="preserve">. The ASU requires disaggregated information about certain income statement expense line items on an annual and interim basis. This guidance will be effective for annual reporting periods beginning after December 15, 2026, and interim reporting periods beginning after December 15, 2027. The new standard permits early adoption and can be applied prospectively or retrospectively.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evaluating the effect that this guidance will have on our consolidated financial statements and related disclosures.</w:t>
      </w:r>
    </w:p>
    <w:p>
      <w:pPr>
        <w:pStyle w:val="TextBody"/>
        <w:bidi w:val="0"/>
        <w:spacing w:lineRule="auto" w:line="288" w:before="120" w:after="120"/>
        <w:jc w:val="left"/>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Intangibles-Goodwill and Other-Internal-Use Software (Subtopic 350-40): Targeted Improvements to the Accounting for Internal-Use Software</w:t>
      </w:r>
      <w:r>
        <w:rPr>
          <w:rFonts w:ascii="Arial;sans-serif" w:hAnsi="Arial;sans-serif"/>
          <w:b w:val="false"/>
          <w:color w:val="000000"/>
          <w:sz w:val="20"/>
        </w:rPr>
        <w:t>, which removes all references to project stages and establishes new criteria for the capitalization of internal-use software costs. The guidance will be effective for annual periods beginning after December 15, 2027, including interim periods within those annual periods. Early adoption is permitted. Upon adoption, the guidance may be applied prospectively, retrospectively, or on a modified retrospective basis, including for in-process projects. We are currently evaluating the ASU to determine its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2. </w:t>
      </w:r>
      <w:r>
        <w:rPr>
          <w:rFonts w:ascii="Arial;sans-serif" w:hAnsi="Arial;sans-serif"/>
          <w:b/>
          <w:color w:val="000000"/>
          <w:sz w:val="24"/>
          <w:u w:val="single"/>
        </w:rPr>
        <w:t>Net income per share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computation of basic and diluted net income per share: </w:t>
      </w:r>
    </w:p>
    <w:tbl>
      <w:tblPr>
        <w:tblW w:w="10205" w:type="dxa"/>
        <w:jc w:val="left"/>
        <w:tblInd w:w="0" w:type="dxa"/>
        <w:tblLayout w:type="fixed"/>
        <w:tblCellMar>
          <w:top w:w="28" w:type="dxa"/>
          <w:left w:w="28" w:type="dxa"/>
          <w:bottom w:w="28" w:type="dxa"/>
          <w:right w:w="28" w:type="dxa"/>
        </w:tblCellMar>
      </w:tblPr>
      <w:tblGrid>
        <w:gridCol w:w="1861"/>
        <w:gridCol w:w="1590"/>
        <w:gridCol w:w="1595"/>
        <w:gridCol w:w="209"/>
        <w:gridCol w:w="689"/>
        <w:gridCol w:w="116"/>
        <w:gridCol w:w="116"/>
        <w:gridCol w:w="116"/>
        <w:gridCol w:w="116"/>
        <w:gridCol w:w="209"/>
        <w:gridCol w:w="689"/>
        <w:gridCol w:w="116"/>
        <w:gridCol w:w="109"/>
        <w:gridCol w:w="109"/>
        <w:gridCol w:w="109"/>
        <w:gridCol w:w="196"/>
        <w:gridCol w:w="736"/>
        <w:gridCol w:w="109"/>
        <w:gridCol w:w="109"/>
        <w:gridCol w:w="109"/>
        <w:gridCol w:w="109"/>
        <w:gridCol w:w="196"/>
        <w:gridCol w:w="736"/>
        <w:gridCol w:w="156"/>
      </w:tblGrid>
      <w:tr>
        <w:trPr/>
        <w:tc>
          <w:tcPr>
            <w:tcW w:w="1861"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5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 share data)</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5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 (basic and diluted):</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 (basic):</w:t>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 (diluted):</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dilutive effect of stock options and restricted stock units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common shares outstanding</w:t>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84,014 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87,746 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88,153 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share:</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Basic </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each of the three months ended July 31, 2026 and 2025, 0.2 million shares attributable to outstanding stock options and restricted stock units were excluded from the calculation of diluted net income per share as their inclusion would have been anti-dilutive.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the six months ended July 31, 2026 and 2025, 0.2 million and 0.1 million shares, respectively, attributable to outstanding stock options and restricted stock units were excluded from the calculation of diluted net income per share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3. </w:t>
      </w:r>
      <w:r>
        <w:rPr>
          <w:rFonts w:ascii="Arial;sans-serif" w:hAnsi="Arial;sans-serif"/>
          <w:b/>
          <w:color w:val="000000"/>
          <w:sz w:val="24"/>
          <w:u w:val="single"/>
        </w:rPr>
        <w:t>Supplemental financial statement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Selected condensed consolidated balance sheet and condensed consolidated statement of operations components consisted of the following:</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Property and equipment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Property and equipment consisted of the following:</w:t>
      </w:r>
    </w:p>
    <w:tbl>
      <w:tblPr>
        <w:tblW w:w="5261" w:type="dxa"/>
        <w:jc w:val="left"/>
        <w:tblInd w:w="0" w:type="dxa"/>
        <w:tblLayout w:type="fixed"/>
        <w:tblCellMar>
          <w:top w:w="28" w:type="dxa"/>
          <w:left w:w="28" w:type="dxa"/>
          <w:bottom w:w="28" w:type="dxa"/>
          <w:right w:w="28" w:type="dxa"/>
        </w:tblCellMar>
      </w:tblPr>
      <w:tblGrid>
        <w:gridCol w:w="857"/>
        <w:gridCol w:w="756"/>
        <w:gridCol w:w="757"/>
        <w:gridCol w:w="228"/>
        <w:gridCol w:w="754"/>
        <w:gridCol w:w="127"/>
        <w:gridCol w:w="109"/>
        <w:gridCol w:w="109"/>
        <w:gridCol w:w="109"/>
        <w:gridCol w:w="286"/>
        <w:gridCol w:w="944"/>
        <w:gridCol w:w="225"/>
      </w:tblGrid>
      <w:tr>
        <w:trPr/>
        <w:tc>
          <w:tcPr>
            <w:tcW w:w="85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r>
      <w:tr>
        <w:trPr/>
        <w:tc>
          <w:tcPr>
            <w:tcW w:w="23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Leasehold improvements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15,276 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14,140 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Furniture and fixtures</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6,453 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Computer equipment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gross</w:t>
            </w:r>
          </w:p>
        </w:tc>
        <w:tc>
          <w:tcPr>
            <w:tcW w:w="98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42,662 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40,495 </w:t>
            </w:r>
          </w:p>
        </w:tc>
        <w:tc>
          <w:tcPr>
            <w:tcW w:w="2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depreciation</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(37,839)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(37,318)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22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4,823 </w:t>
            </w:r>
          </w:p>
        </w:tc>
        <w:tc>
          <w:tcPr>
            <w:tcW w:w="12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3,177 </w:t>
            </w:r>
          </w:p>
        </w:tc>
        <w:tc>
          <w:tcPr>
            <w:tcW w:w="22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Depreciation expense was $0.5 million for each of the three months ended July 31, 2026 and 2025, and $1.0 million and $1.1 million for the six months ended July 31, 2026 and 2025, respectively.</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Contract balances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does not recognize revenue until its right to consideration is unconditional and therefore has no related contract assets. The Company records a receivable when revenue is recognized prior to payment and the Company has unconditional right to payment. Alternatively, when payment precedes the related services, the Company records a contract liability, or deferred revenue, until its performance obligations are satisfied. As of July 31, 2026 and January 31, 2026, the balance of deferred revenue was $3.1 million and $6.7 million, respectively. The balances are related to cash received in advance for up-front fees, interchange revenue arrangements, and other commuter deferred revenue. The Company expects to recognize approximately 82% of its balance of deferred revenue as revenue over the next 12 months and the remainder thereafter. Amounts expected to be recognized as revenue within a period of 12 months or less are classified as accrued liabilities in the Company's condensed consolidated balance sheets, with the remainder included within other long-term liabilities. Revenue recognized during the three and six months ended July 31, 2026 that was included in the balance of deferred revenue as of January 31, 2026 was $2.2 million and $5.3 million, respectively. The Company expects to satisfy its remaining obligations for these arrangements.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Leases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net operating lease expense were as follows:</w:t>
      </w:r>
    </w:p>
    <w:tbl>
      <w:tblPr>
        <w:tblW w:w="7158" w:type="dxa"/>
        <w:jc w:val="left"/>
        <w:tblInd w:w="0" w:type="dxa"/>
        <w:tblLayout w:type="fixed"/>
        <w:tblCellMar>
          <w:top w:w="28" w:type="dxa"/>
          <w:left w:w="28" w:type="dxa"/>
          <w:bottom w:w="28" w:type="dxa"/>
          <w:right w:w="28" w:type="dxa"/>
        </w:tblCellMar>
      </w:tblPr>
      <w:tblGrid>
        <w:gridCol w:w="797"/>
        <w:gridCol w:w="703"/>
        <w:gridCol w:w="704"/>
        <w:gridCol w:w="229"/>
        <w:gridCol w:w="651"/>
        <w:gridCol w:w="127"/>
        <w:gridCol w:w="127"/>
        <w:gridCol w:w="127"/>
        <w:gridCol w:w="127"/>
        <w:gridCol w:w="229"/>
        <w:gridCol w:w="651"/>
        <w:gridCol w:w="127"/>
        <w:gridCol w:w="109"/>
        <w:gridCol w:w="109"/>
        <w:gridCol w:w="109"/>
        <w:gridCol w:w="209"/>
        <w:gridCol w:w="593"/>
        <w:gridCol w:w="116"/>
        <w:gridCol w:w="116"/>
        <w:gridCol w:w="116"/>
        <w:gridCol w:w="116"/>
        <w:gridCol w:w="209"/>
        <w:gridCol w:w="593"/>
        <w:gridCol w:w="164"/>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thousands)</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22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expense</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Sublease income</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operating lease expense</w:t>
            </w:r>
          </w:p>
        </w:tc>
        <w:tc>
          <w:tcPr>
            <w:tcW w:w="2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1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2,024 </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1,902 </w:t>
            </w:r>
          </w:p>
        </w:tc>
        <w:tc>
          <w:tcPr>
            <w:tcW w:w="1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rFonts w:ascii="Arial;sans-serif" w:hAnsi="Arial;sans-serif"/>
          <w:b/>
          <w:color w:val="000000"/>
          <w:sz w:val="20"/>
        </w:rPr>
      </w:pPr>
      <w:r>
        <w:rPr>
          <w:rFonts w:ascii="Arial;sans-serif" w:hAnsi="Arial;sans-serif"/>
          <w:b/>
          <w:color w:val="000000"/>
          <w:sz w:val="20"/>
        </w:rPr>
        <w:t>Other income, net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Other income, net, consisted of the following:</w:t>
      </w:r>
    </w:p>
    <w:tbl>
      <w:tblPr>
        <w:tblW w:w="7458" w:type="dxa"/>
        <w:jc w:val="left"/>
        <w:tblInd w:w="0" w:type="dxa"/>
        <w:tblLayout w:type="fixed"/>
        <w:tblCellMar>
          <w:top w:w="28" w:type="dxa"/>
          <w:left w:w="28" w:type="dxa"/>
          <w:bottom w:w="28" w:type="dxa"/>
          <w:right w:w="28" w:type="dxa"/>
        </w:tblCellMar>
      </w:tblPr>
      <w:tblGrid>
        <w:gridCol w:w="905"/>
        <w:gridCol w:w="799"/>
        <w:gridCol w:w="800"/>
        <w:gridCol w:w="229"/>
        <w:gridCol w:w="651"/>
        <w:gridCol w:w="127"/>
        <w:gridCol w:w="127"/>
        <w:gridCol w:w="127"/>
        <w:gridCol w:w="127"/>
        <w:gridCol w:w="229"/>
        <w:gridCol w:w="651"/>
        <w:gridCol w:w="127"/>
        <w:gridCol w:w="109"/>
        <w:gridCol w:w="109"/>
        <w:gridCol w:w="109"/>
        <w:gridCol w:w="209"/>
        <w:gridCol w:w="593"/>
        <w:gridCol w:w="116"/>
        <w:gridCol w:w="116"/>
        <w:gridCol w:w="116"/>
        <w:gridCol w:w="116"/>
        <w:gridCol w:w="209"/>
        <w:gridCol w:w="593"/>
        <w:gridCol w:w="164"/>
      </w:tblGrid>
      <w:tr>
        <w:trPr/>
        <w:tc>
          <w:tcPr>
            <w:tcW w:w="90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25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6,097 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miscellaneous income, net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net</w:t>
            </w:r>
          </w:p>
        </w:tc>
        <w:tc>
          <w:tcPr>
            <w:tcW w:w="2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1,780 </w:t>
            </w:r>
          </w:p>
        </w:tc>
        <w:tc>
          <w:tcPr>
            <w:tcW w:w="1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3,391 </w:t>
            </w:r>
          </w:p>
        </w:tc>
        <w:tc>
          <w:tcPr>
            <w:tcW w:w="1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3,828 </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6,124 </w:t>
            </w:r>
          </w:p>
        </w:tc>
        <w:tc>
          <w:tcPr>
            <w:tcW w:w="1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left"/>
        <w:rPr>
          <w:rFonts w:ascii="Arial;sans-serif" w:hAnsi="Arial;sans-serif"/>
          <w:b/>
          <w:color w:val="000000"/>
          <w:sz w:val="20"/>
        </w:rPr>
      </w:pPr>
      <w:r>
        <w:rPr>
          <w:rFonts w:ascii="Arial;sans-serif" w:hAnsi="Arial;sans-serif"/>
          <w:b/>
          <w:color w:val="000000"/>
          <w:sz w:val="20"/>
        </w:rPr>
        <w:t>Supplemental cash flow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Supplemental cash flow information related to the Company's operating leases was as follows:</w:t>
      </w:r>
    </w:p>
    <w:tbl>
      <w:tblPr>
        <w:tblW w:w="7422" w:type="dxa"/>
        <w:jc w:val="left"/>
        <w:tblInd w:w="0" w:type="dxa"/>
        <w:tblLayout w:type="fixed"/>
        <w:tblCellMar>
          <w:top w:w="28" w:type="dxa"/>
          <w:left w:w="28" w:type="dxa"/>
          <w:bottom w:w="28" w:type="dxa"/>
          <w:right w:w="28" w:type="dxa"/>
        </w:tblCellMar>
      </w:tblPr>
      <w:tblGrid>
        <w:gridCol w:w="1876"/>
        <w:gridCol w:w="1655"/>
        <w:gridCol w:w="1659"/>
        <w:gridCol w:w="209"/>
        <w:gridCol w:w="593"/>
        <w:gridCol w:w="116"/>
        <w:gridCol w:w="116"/>
        <w:gridCol w:w="116"/>
        <w:gridCol w:w="116"/>
        <w:gridCol w:w="209"/>
        <w:gridCol w:w="593"/>
        <w:gridCol w:w="164"/>
      </w:tblGrid>
      <w:tr>
        <w:trPr/>
        <w:tc>
          <w:tcPr>
            <w:tcW w:w="187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51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amounts included in the measurement of lease liabilities:</w:t>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cash flows from operating leases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 obtained in exchange for lease obligations</w:t>
            </w:r>
          </w:p>
        </w:tc>
        <w:tc>
          <w:tcPr>
            <w:tcW w:w="2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6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120"/>
        <w:jc w:val="left"/>
        <w:rPr/>
      </w:pPr>
      <w:r>
        <w:rPr/>
      </w:r>
    </w:p>
    <w:p>
      <w:pPr>
        <w:pStyle w:val="TextBody"/>
        <w:bidi w:val="0"/>
        <w:spacing w:before="360" w:after="120"/>
        <w:jc w:val="left"/>
        <w:rPr/>
      </w:pPr>
      <w:r>
        <w:rPr/>
      </w:r>
    </w:p>
    <w:p>
      <w:pPr>
        <w:pStyle w:val="TextBody"/>
        <w:bidi w:val="0"/>
        <w:spacing w:before="360" w:after="120"/>
        <w:jc w:val="left"/>
        <w:rPr/>
      </w:pPr>
      <w:r>
        <w:rPr/>
      </w:r>
    </w:p>
    <w:p>
      <w:pPr>
        <w:pStyle w:val="TextBody"/>
        <w:bidi w:val="0"/>
        <w:spacing w:before="360" w:after="120"/>
        <w:jc w:val="left"/>
        <w:rPr/>
      </w:pPr>
      <w:r>
        <w:rPr/>
      </w:r>
    </w:p>
    <w:p>
      <w:pPr>
        <w:pStyle w:val="TextBody"/>
        <w:bidi w:val="0"/>
        <w:spacing w:before="36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000FF"/>
            <w:sz w:val="20"/>
            <w:u w:val="single"/>
          </w:rPr>
          <w:t>Table of Contents</w:t>
        </w:r>
      </w:hyperlink>
    </w:p>
    <w:p>
      <w:pPr>
        <w:pStyle w:val="TextBody"/>
        <w:bidi w:val="0"/>
        <w:spacing w:lineRule="auto" w:line="288" w:before="360" w:after="120"/>
        <w:jc w:val="left"/>
        <w:rPr/>
      </w:pPr>
      <w:r>
        <w:rPr>
          <w:rFonts w:ascii="Arial;sans-serif" w:hAnsi="Arial;sans-serif"/>
          <w:b/>
          <w:color w:val="000000"/>
          <w:sz w:val="24"/>
        </w:rPr>
        <w:t xml:space="preserve">Note 4. </w:t>
      </w:r>
      <w:r>
        <w:rPr>
          <w:rFonts w:ascii="Arial;sans-serif" w:hAnsi="Arial;sans-serif"/>
          <w:b/>
          <w:color w:val="000000"/>
          <w:sz w:val="24"/>
          <w:u w:val="single"/>
        </w:rPr>
        <w:t>Intangible assets and goodwill</w:t>
      </w:r>
    </w:p>
    <w:p>
      <w:pPr>
        <w:pStyle w:val="TextBody"/>
        <w:bidi w:val="0"/>
        <w:spacing w:lineRule="auto" w:line="288" w:before="120" w:after="60"/>
        <w:jc w:val="left"/>
        <w:rPr>
          <w:rFonts w:ascii="Arial;sans-serif" w:hAnsi="Arial;sans-serif"/>
          <w:b/>
          <w:color w:val="000000"/>
          <w:sz w:val="20"/>
        </w:rPr>
      </w:pPr>
      <w:r>
        <w:rPr>
          <w:rFonts w:ascii="Arial;sans-serif" w:hAnsi="Arial;sans-serif"/>
          <w:b/>
          <w:color w:val="000000"/>
          <w:sz w:val="20"/>
        </w:rPr>
        <w:t>Intangible assets</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The gross carrying amount and associated accumulated amortization of intangible assets were as follows:</w:t>
      </w:r>
    </w:p>
    <w:tbl>
      <w:tblPr>
        <w:tblW w:w="9247" w:type="dxa"/>
        <w:jc w:val="left"/>
        <w:tblInd w:w="0" w:type="dxa"/>
        <w:tblLayout w:type="fixed"/>
        <w:tblCellMar>
          <w:top w:w="28" w:type="dxa"/>
          <w:left w:w="28" w:type="dxa"/>
          <w:bottom w:w="28" w:type="dxa"/>
          <w:right w:w="28" w:type="dxa"/>
        </w:tblCellMar>
      </w:tblPr>
      <w:tblGrid>
        <w:gridCol w:w="1149"/>
        <w:gridCol w:w="1014"/>
        <w:gridCol w:w="1017"/>
        <w:gridCol w:w="300"/>
        <w:gridCol w:w="1333"/>
        <w:gridCol w:w="166"/>
        <w:gridCol w:w="109"/>
        <w:gridCol w:w="109"/>
        <w:gridCol w:w="109"/>
        <w:gridCol w:w="347"/>
        <w:gridCol w:w="1439"/>
        <w:gridCol w:w="193"/>
        <w:gridCol w:w="109"/>
        <w:gridCol w:w="109"/>
        <w:gridCol w:w="109"/>
        <w:gridCol w:w="262"/>
        <w:gridCol w:w="1167"/>
        <w:gridCol w:w="206"/>
      </w:tblGrid>
      <w:tr>
        <w:trPr/>
        <w:tc>
          <w:tcPr>
            <w:tcW w:w="114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carrying amount</w:t>
            </w:r>
          </w:p>
        </w:tc>
      </w:tr>
      <w:tr>
        <w:trPr/>
        <w:tc>
          <w:tcPr>
            <w:tcW w:w="31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Amortizable intangible assets:</w:t>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Software and software development costs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382,991 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(301,258)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81,733 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HSA portfolios</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737,304 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(197,913)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539,391 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customer relationships</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759,782 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(334,359)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425,423 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developed technology</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(131,575)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trade names</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amortizable intangible assets</w:t>
            </w:r>
          </w:p>
        </w:tc>
        <w:tc>
          <w:tcPr>
            <w:tcW w:w="30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2,025,802 </w:t>
            </w:r>
          </w:p>
        </w:tc>
        <w:tc>
          <w:tcPr>
            <w:tcW w:w="1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3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(978,005)</w:t>
            </w:r>
          </w:p>
        </w:tc>
        <w:tc>
          <w:tcPr>
            <w:tcW w:w="19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1,047,797 </w:t>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47" w:type="dxa"/>
        <w:jc w:val="left"/>
        <w:tblInd w:w="0" w:type="dxa"/>
        <w:tblLayout w:type="fixed"/>
        <w:tblCellMar>
          <w:top w:w="28" w:type="dxa"/>
          <w:left w:w="28" w:type="dxa"/>
          <w:bottom w:w="28" w:type="dxa"/>
          <w:right w:w="28" w:type="dxa"/>
        </w:tblCellMar>
      </w:tblPr>
      <w:tblGrid>
        <w:gridCol w:w="1149"/>
        <w:gridCol w:w="1014"/>
        <w:gridCol w:w="1017"/>
        <w:gridCol w:w="300"/>
        <w:gridCol w:w="1333"/>
        <w:gridCol w:w="166"/>
        <w:gridCol w:w="109"/>
        <w:gridCol w:w="109"/>
        <w:gridCol w:w="109"/>
        <w:gridCol w:w="347"/>
        <w:gridCol w:w="1439"/>
        <w:gridCol w:w="193"/>
        <w:gridCol w:w="109"/>
        <w:gridCol w:w="109"/>
        <w:gridCol w:w="109"/>
        <w:gridCol w:w="262"/>
        <w:gridCol w:w="1167"/>
        <w:gridCol w:w="206"/>
      </w:tblGrid>
      <w:tr>
        <w:trPr/>
        <w:tc>
          <w:tcPr>
            <w:tcW w:w="114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carrying amount</w:t>
            </w:r>
          </w:p>
        </w:tc>
      </w:tr>
      <w:tr>
        <w:trPr/>
        <w:tc>
          <w:tcPr>
            <w:tcW w:w="31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Amortizable intangible assets:</w:t>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Software and software development costs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356,597 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(278,291)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78,306 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HSA portfolios</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737,304 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(173,687)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563,617 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customer relationships</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759,782 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451,270 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developed technology</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(128,846)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trade names</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amortizable intangible assets</w:t>
            </w:r>
          </w:p>
        </w:tc>
        <w:tc>
          <w:tcPr>
            <w:tcW w:w="30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1,999,408 </w:t>
            </w:r>
          </w:p>
        </w:tc>
        <w:tc>
          <w:tcPr>
            <w:tcW w:w="1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3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(902,236)</w:t>
            </w:r>
          </w:p>
        </w:tc>
        <w:tc>
          <w:tcPr>
            <w:tcW w:w="19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1,097,172 </w:t>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Amortization expense was $41.5 million and $38.0 million for the three months ended July 31, 2026 and 2025, respectively, and $79.2 million and $76.1 million for the six months ended July 31, 2026 and 2025, respectively.</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were no changes to the carrying value of goodwill during the six months ended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5. </w:t>
      </w:r>
      <w:r>
        <w:rPr>
          <w:rFonts w:ascii="Arial;sans-serif" w:hAnsi="Arial;sans-serif"/>
          <w:b/>
          <w:color w:val="000000"/>
          <w:sz w:val="24"/>
          <w:u w:val="single"/>
        </w:rPr>
        <w:t>Commitments and contingencies</w:t>
      </w:r>
    </w:p>
    <w:p>
      <w:pPr>
        <w:pStyle w:val="TextBody"/>
        <w:bidi w:val="0"/>
        <w:spacing w:lineRule="auto" w:line="288" w:before="120" w:after="60"/>
        <w:jc w:val="left"/>
        <w:rPr>
          <w:rFonts w:ascii="Arial;sans-serif" w:hAnsi="Arial;sans-serif"/>
          <w:b/>
          <w:color w:val="000000"/>
          <w:sz w:val="20"/>
        </w:rPr>
      </w:pPr>
      <w:r>
        <w:rPr>
          <w:rFonts w:ascii="Arial;sans-serif" w:hAnsi="Arial;sans-serif"/>
          <w:b/>
          <w:color w:val="000000"/>
          <w:sz w:val="20"/>
        </w:rPr>
        <w:t>Commitments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Company’s principal commitments consist of long-term debt, operating lease obligations, and other purchase obligations and contractual commitments. During the six months ended July 31, 2026, the Company prepaid $26.9 million under its credit agreement. There were no other material changes during the six months ended July 31, 2026, outside of the ordinary course of business, in the Company's commitments from those disclosed in its Annual Report on Form 10-K for the fiscal year ended January 31, 2026.</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Contingencies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Legal matters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a result of a cybersecurity incident in fiscal 2025 in which a business partner's user account containing personally identifiable information was breached, the Company is subject to a consolidated putative class action lawsuit in federal court in the District of Utah. The plaintiffs in this legal action allege that the Company failed to implement reasonable data security practices, which resulted in a breach and disclosure of plaintiffs' and others' personally identifiable information and protected health information. The plaintiffs are seeking, among other damages, unspecified monetary damages, equitable relief, costs, and attorneys' fees arising out of the incident.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December 13, 2024, the Company filed a motion to dismiss the class action and a motion to compel arbitration. On May 5, 2025, the court dismissed without prejudice the Company's motion to compel arbitration and the motion to dismiss, with the court noting that the Company could refile both motions after the conclusion of discovery. On May 15, 2026, the Company filed its renewed motion to compel arbitration. The Company intends to vigorously defend itself against this legal action. In addition, the Company is subject to several regulatory inquiries related to the cybersecurity incident. The amount of the potential loss associated with the lawsuit and any potential regulatory action cannot be reasonably estimated based on currently available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and its subsidiaries are involved in various other litigation, governmental proceedings, and claims, not described above, that arise in the normal course of business. It is not possible to determine the ultimate outcome or the duration of such litigation, governmental proceedings or claims, or the impact that such litigation, proceedings, and claims will have on the Company’s financial position, results of operations, and cash flows.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required under GAAP, the Company records a provision for contingent losses when it is both probable that a liability has been incurred and the amount of the loss can be reasonably estimated. No loss accrual relating to these matters was recorded because, based on currently available information, the Company does not believe that any contingent liabilities relating to these matters are probable or that the amount of any resulting loss is estimable. However, litigation is subject to inherent uncertainties and the Company’s view of these matters may change. Were an unfavorable outcome to occur, there exists the possibility of a material adverse impact on the Company’s financial position, results of operations and cash flows for the period in which the unfavorable outcome occurs, and potentially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000000"/>
          <w:sz w:val="24"/>
        </w:rPr>
        <w:t xml:space="preserve">Note 6. </w:t>
      </w:r>
      <w:r>
        <w:rPr>
          <w:rFonts w:ascii="Arial;sans-serif" w:hAnsi="Arial;sans-serif"/>
          <w:b/>
          <w:color w:val="000000"/>
          <w:sz w:val="24"/>
          <w:u w:val="single"/>
        </w:rPr>
        <w:t>Indebtedness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Long-term debt consisted of the following:</w:t>
      </w:r>
    </w:p>
    <w:tbl>
      <w:tblPr>
        <w:tblW w:w="6745" w:type="dxa"/>
        <w:jc w:val="left"/>
        <w:tblInd w:w="0" w:type="dxa"/>
        <w:tblLayout w:type="fixed"/>
        <w:tblCellMar>
          <w:top w:w="28" w:type="dxa"/>
          <w:left w:w="28" w:type="dxa"/>
          <w:bottom w:w="28" w:type="dxa"/>
          <w:right w:w="28" w:type="dxa"/>
        </w:tblCellMar>
      </w:tblPr>
      <w:tblGrid>
        <w:gridCol w:w="1394"/>
        <w:gridCol w:w="1229"/>
        <w:gridCol w:w="1231"/>
        <w:gridCol w:w="209"/>
        <w:gridCol w:w="785"/>
        <w:gridCol w:w="116"/>
        <w:gridCol w:w="109"/>
        <w:gridCol w:w="109"/>
        <w:gridCol w:w="109"/>
        <w:gridCol w:w="262"/>
        <w:gridCol w:w="986"/>
        <w:gridCol w:w="206"/>
      </w:tblGrid>
      <w:tr>
        <w:trPr/>
        <w:tc>
          <w:tcPr>
            <w:tcW w:w="139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r>
      <w:tr>
        <w:trPr/>
        <w:tc>
          <w:tcPr>
            <w:tcW w:w="38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16"/>
              </w:rPr>
            </w:pPr>
            <w:r>
              <w:rPr>
                <w:rFonts w:ascii="Arial;sans-serif" w:hAnsi="Arial;sans-serif"/>
                <w:b w:val="false"/>
                <w:color w:val="000000"/>
                <w:sz w:val="16"/>
              </w:rPr>
              <w:t>4.50% Senior Notes due 2029</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600,000 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361,875 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amount</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935,000 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961,875 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unamortized discount and issuance costs (1)</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 net</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931,062 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957,379 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8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w:t>
            </w:r>
          </w:p>
        </w:tc>
        <w:tc>
          <w:tcPr>
            <w:tcW w:w="2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931,062 </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957,379 </w:t>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(1)In addition to the $3.9 million and $4.5 million of unamortized discount and issuance costs related to the Notes as of July 31, 2026 and January 31, 2026, respectively, $5.1 million and $5.9 million of unamortized issuance costs related to the Company's Revolving Credit Facility are included within other assets in the condensed consolidated balance sheets as of July 31, 2026 and January 31, 2026, respectively.</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4.50% Senior Notes due 2029</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October 8, 2021, the Company completed its offering of $600 million aggregate principal amount of its 4.50% Senior Notes due 2029 (the “Notes”). The Notes were issued under an indenture (the “Indenture”), dated October 8, 2021, among the Company, the guarantors party thereto, and Wells Fargo Bank, National Association, as trustee.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Notes are guaranteed by each of the Company’s existing, wholly owned domestic subsidiaries that guarantees its obligations under the Credit Agreement (as defined below) and are required to be guaranteed by any of the Company’s future subsidiaries that guarantee its obligations under the Credit Agreement or certain of its other indebtedness. The Notes will mature on October 1, 2029. Interest on the Notes is payable on April 1 and October 1 of each year. Accrued interest on the Notes was $9.0 million at each of July 31, 2026 and January 31, 2026, which is included within accrued liabilities on the Company's condensed consolidated balance sheets. The effective interest rate on the Notes is 4.72%.</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Notes are unsecured senior obligations of the Company and rank equally in right of payment to all of its existing and future senior unsecured debt and senior in right of payment to all of its future subordinated debt.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Notes are redeemable at the Company’s option, in whole or in part, at a redemption price if redeemed during the 12 months beginning (i) October 1, 2025 of 101.125%, and (ii) October 1, 2026 and thereafter of 100.000%, in each case of the principal amount of the Notes being redeemed, and together with accrued and unpaid interest, if any, to, but excluding, the date of redemption. The Company may be required to make an offer to purchase the Notes upon the sale of certain assets or upon specific kinds of changes of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Indenture contains covenants that impose significant operational and financial restrictions on the Company; however, these covenants generally align with the covenants contained in the Credit Agreement. See "Credit Agreement" below for a description of these covenants.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Credit Agreement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23, 2024, the Company entered into a Credit Agreement (the “Credit Agreement”) among the Company, as borrower, each lender from time to time party thereto (the “Lenders”), JPMorgan Chase Bank, N.A., as administrative agent and the Swing Line Lender (as defined in the Credit Agreement), and each L/C Issuer (as defined therein) party thereto, pursuant to which the Company established a five-year senior secured revolving credit facility (the “Revolving Credit Facility”) in an aggregate principal amount of up to $1.0 billion (with a $25 million sub-limit for the issuance of letters of credit), a portion of which was used to refinance the Company's prior credit agreement. The Revolving Credit Facility may be used in the future for working capital and general corporate purposes, including the financing of acquisitions and other investments. The maturity date of the Revolving Credit Facility is August 23, 2029.</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Subject to the terms and conditions set forth in the Credit Agreement (including obtaining additional commitments from one or more new or existing lenders), the Company may in the future incur additional loans or commitments under the Credit Agreement in an aggregate principal amount of up to $450 million, plus an additional amount so long as the Company’s pro forma first lien net leverage ratio would not exceed 3.85 to 1.00 as of the date such loans or commitments are incurred.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Borrowings under the Revolving Credit Facility bear interest at an annual rate equal to, at the Company’s option, either (i) the secured overnight financing rate published by the CME Group Benchmark Administration Limited (“Term SOFR”) (subject to a 0.10% “credit spread adjustment”) plus a margin ranging from 1.25% to 2.50% or (ii) an alternate base rate plus a margin ranging from 0.25% to 1.50%, with the applicable margin determined by reference to a leverage-based pricing grid set forth in the Credit Agreement. The Company is also required to pay certain fees to the Lenders, including, among others, a quarterly commitment fee on the average unused amount of the Revolving Credit Facility at a rate ranging from 0.25% to 0.50%, with the applicable rate also determined by reference to a leverage-based pricing grid set forth in the Credit Agreement. As of July 31, 2026, the interest rate on the Revolving Credit Facility was 5.08%.</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loans under the Revolving Credit Facility may be prepaid, and the commitments thereunder may be reduced by the Company without penalty or premium, subject to the reimbursement of customary “breakage costs.”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Credit Agreement contains customary affirmative and negative covenants, including covenants that limit, among other things, the ability of the Company and its subsidiaries to incur additional indebtedness, create liens, merge or dissolve, make investments, dispose of assets, engage in sale and leaseback transactions, make distributions and dividends and prepayments of junior indebtedness, engage in transactions with affiliates, enter into restrictive agreements, amend documentation governing junior indebtedness, modify its fiscal year and modify its organizational documents, in each case, subject to customary exceptions, thresholds, qualifications and “baskets.” In addition, the Credit Agreement contains financial performance covenants, which require the Company to maintain (i) a maximum total net leverage ratio, measured as of the last day of each fiscal quarter, of no greater than 5.00 to 1.00 and (ii) a minimum consolidated interest coverage ratio, measured as of the last day of each fiscal quarter, of no less than 3.00 to 1.00. The Company was in compliance with all covenants under the Credit Agreement as of July 31, 2026 and for the period then ended.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repayment obligation under the Credit Agreement may be accelerated upon the occurrence of an event of default thereunder, including, among other things, failure to pay principal, interest or fees on a timely basis, material inaccuracy of any representation or warranty, failure to comply with covenants, cross-default to other material debt, material judgments, change of control and certain insolvency or bankruptcy-related events, in each case, subject to any certain grace and/or cure periods.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Company’s obligations under the Credit Agreement are required to be unconditionally guaranteed by each of its existing or subsequently acquired or organized direct and indirect domestic subsidiaries and are secured by security interests in substantially all assets of the Company and the guarantors, in each case, subject to certain customary exceptions.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7. </w:t>
      </w:r>
      <w:r>
        <w:rPr>
          <w:rFonts w:ascii="Arial;sans-serif" w:hAnsi="Arial;sans-serif"/>
          <w:b/>
          <w:color w:val="000000"/>
          <w:sz w:val="24"/>
          <w:u w:val="single"/>
        </w:rPr>
        <w:t>Income taxes</w:t>
      </w:r>
    </w:p>
    <w:p>
      <w:pPr>
        <w:pStyle w:val="TextBody"/>
        <w:bidi w:val="0"/>
        <w:spacing w:lineRule="auto" w:line="288" w:before="0" w:after="0"/>
        <w:jc w:val="left"/>
        <w:rPr/>
      </w:pPr>
      <w:r>
        <w:rPr>
          <w:rFonts w:ascii="Arial;sans-serif" w:hAnsi="Arial;sans-serif"/>
          <w:b w:val="false"/>
          <w:color w:val="000000"/>
          <w:sz w:val="20"/>
        </w:rPr>
        <w:t xml:space="preserve">The Company follows Accounting Standards Codification ("ASC") 740-270, </w:t>
      </w:r>
      <w:r>
        <w:rPr>
          <w:rFonts w:ascii="Arial;sans-serif" w:hAnsi="Arial;sans-serif"/>
          <w:b w:val="false"/>
          <w:i/>
          <w:color w:val="000000"/>
          <w:sz w:val="20"/>
        </w:rPr>
        <w:t>Income Taxes - Interim Reporting</w:t>
      </w:r>
      <w:r>
        <w:rPr>
          <w:rFonts w:ascii="Arial;sans-serif" w:hAnsi="Arial;sans-serif"/>
          <w:b w:val="false"/>
          <w:color w:val="000000"/>
          <w:sz w:val="20"/>
        </w:rPr>
        <w:t xml:space="preserve">, for the computation and presentation of its interim period tax provision. Accordingly, management estimated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effective annual tax rate and applied this rate to pre-tax income through the end of the latest fiscal quarter to determine the interim income tax provision. </w:t>
      </w:r>
    </w:p>
    <w:p>
      <w:pPr>
        <w:pStyle w:val="TextBody"/>
        <w:bidi w:val="0"/>
        <w:spacing w:before="0" w:after="0"/>
        <w:jc w:val="left"/>
        <w:rPr/>
      </w:pPr>
      <w:r>
        <w:rPr/>
      </w:r>
    </w:p>
    <w:tbl>
      <w:tblPr>
        <w:tblW w:w="7890" w:type="dxa"/>
        <w:jc w:val="left"/>
        <w:tblInd w:w="0" w:type="dxa"/>
        <w:tblLayout w:type="fixed"/>
        <w:tblCellMar>
          <w:top w:w="28" w:type="dxa"/>
          <w:left w:w="28" w:type="dxa"/>
          <w:bottom w:w="28" w:type="dxa"/>
          <w:right w:w="28" w:type="dxa"/>
        </w:tblCellMar>
      </w:tblPr>
      <w:tblGrid>
        <w:gridCol w:w="1059"/>
        <w:gridCol w:w="931"/>
        <w:gridCol w:w="934"/>
        <w:gridCol w:w="214"/>
        <w:gridCol w:w="706"/>
        <w:gridCol w:w="279"/>
        <w:gridCol w:w="214"/>
        <w:gridCol w:w="706"/>
        <w:gridCol w:w="279"/>
        <w:gridCol w:w="109"/>
        <w:gridCol w:w="109"/>
        <w:gridCol w:w="109"/>
        <w:gridCol w:w="196"/>
        <w:gridCol w:w="646"/>
        <w:gridCol w:w="256"/>
        <w:gridCol w:w="196"/>
        <w:gridCol w:w="646"/>
        <w:gridCol w:w="301"/>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29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22,221 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18,194 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income tax rate</w:t>
            </w:r>
          </w:p>
        </w:tc>
        <w:tc>
          <w:tcPr>
            <w:tcW w:w="9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2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2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the three and six months ended July 31, 2026, discrete tax items impacting the effective tax rate were primarily due to tax benefit from stock-based compensation expense. For the three and six months ended July 31, 2025, discrete tax items impacting the effective tax rate were primarily due to tax benefit from stock-based compensation expense and changes to net state deferred tax liabilities due to state apportionment changes.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July 31, 2026 and January 31, 2026, the Company’s total gross unrecognized tax benefit was $29.6 million and $27.4 million, respectively. If recognized, $26.1 million of the total gross unrecognized tax benefit would affect the Company's effective tax rate as of July 31,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files income tax returns with U.S. federal and state taxing jurisdictions and is currently under examination by the state of California. This tax examination may lead to ordinary course adjustments or proposed adjustments to the Company's taxes, net operating losses, and/or tax credit carryforwards. As a result of the Company's net operating loss carryforwards and tax credit carryforwards, the Company remains subject to examination by one or more jurisdictions for tax years after 2006.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8. </w:t>
      </w:r>
      <w:r>
        <w:rPr>
          <w:rFonts w:ascii="Arial;sans-serif" w:hAnsi="Arial;sans-serif"/>
          <w:b/>
          <w:color w:val="000000"/>
          <w:sz w:val="24"/>
          <w:u w:val="single"/>
        </w:rPr>
        <w:t>Stock-based compensation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shows a summary of stock-based compensation in the Company's condensed consolidated statements of operations during the periods presented:</w:t>
      </w:r>
    </w:p>
    <w:tbl>
      <w:tblPr>
        <w:tblW w:w="8178" w:type="dxa"/>
        <w:jc w:val="left"/>
        <w:tblInd w:w="0" w:type="dxa"/>
        <w:tblLayout w:type="fixed"/>
        <w:tblCellMar>
          <w:top w:w="28" w:type="dxa"/>
          <w:left w:w="28" w:type="dxa"/>
          <w:bottom w:w="28" w:type="dxa"/>
          <w:right w:w="28" w:type="dxa"/>
        </w:tblCellMar>
      </w:tblPr>
      <w:tblGrid>
        <w:gridCol w:w="1149"/>
        <w:gridCol w:w="1014"/>
        <w:gridCol w:w="1017"/>
        <w:gridCol w:w="211"/>
        <w:gridCol w:w="695"/>
        <w:gridCol w:w="117"/>
        <w:gridCol w:w="117"/>
        <w:gridCol w:w="117"/>
        <w:gridCol w:w="117"/>
        <w:gridCol w:w="211"/>
        <w:gridCol w:w="695"/>
        <w:gridCol w:w="117"/>
        <w:gridCol w:w="109"/>
        <w:gridCol w:w="109"/>
        <w:gridCol w:w="109"/>
        <w:gridCol w:w="196"/>
        <w:gridCol w:w="646"/>
        <w:gridCol w:w="109"/>
        <w:gridCol w:w="109"/>
        <w:gridCol w:w="109"/>
        <w:gridCol w:w="109"/>
        <w:gridCol w:w="196"/>
        <w:gridCol w:w="646"/>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1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development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 expense</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22,210 </w:t>
            </w:r>
          </w:p>
        </w:tc>
        <w:tc>
          <w:tcPr>
            <w:tcW w:w="11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19,068 </w:t>
            </w:r>
          </w:p>
        </w:tc>
        <w:tc>
          <w:tcPr>
            <w:tcW w:w="11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41,616 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33,404 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Stock award plans</w:t>
      </w:r>
    </w:p>
    <w:p>
      <w:pPr>
        <w:pStyle w:val="TextBody"/>
        <w:bidi w:val="0"/>
        <w:spacing w:lineRule="auto" w:line="288" w:before="120" w:after="120"/>
        <w:jc w:val="left"/>
        <w:rPr/>
      </w:pPr>
      <w:r>
        <w:rPr>
          <w:rFonts w:ascii="Arial;sans-serif" w:hAnsi="Arial;sans-serif"/>
          <w:b/>
          <w:i/>
          <w:color w:val="000000"/>
          <w:sz w:val="20"/>
        </w:rPr>
        <w:t xml:space="preserve">Incentive Plan. </w:t>
      </w:r>
      <w:r>
        <w:rPr>
          <w:rFonts w:ascii="Arial;sans-serif" w:hAnsi="Arial;sans-serif"/>
          <w:b w:val="false"/>
          <w:color w:val="000000"/>
          <w:sz w:val="20"/>
        </w:rPr>
        <w:t>The Amended and Restated HealthEquity, Inc. 2024 Equity Incentive Plan (the "Incentive Plan") provides for the issuance of stock awards to team members, consultants, and directors of the Company. Subject to adjustment as provided in the Incentive Plan, as of July 31, 2026, the aggregate number of shares of the Company’s common stock reserved and available for issuance pursuant to awards granted under the Incentive Plan was 4.2 million.</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Stock options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summary of stock option activity is as follows:</w:t>
      </w:r>
    </w:p>
    <w:tbl>
      <w:tblPr>
        <w:tblW w:w="10205" w:type="dxa"/>
        <w:jc w:val="left"/>
        <w:tblInd w:w="0" w:type="dxa"/>
        <w:tblLayout w:type="fixed"/>
        <w:tblCellMar>
          <w:top w:w="28" w:type="dxa"/>
          <w:left w:w="28" w:type="dxa"/>
          <w:bottom w:w="28" w:type="dxa"/>
          <w:right w:w="28" w:type="dxa"/>
        </w:tblCellMar>
      </w:tblPr>
      <w:tblGrid>
        <w:gridCol w:w="1411"/>
        <w:gridCol w:w="1240"/>
        <w:gridCol w:w="1244"/>
        <w:gridCol w:w="315"/>
        <w:gridCol w:w="315"/>
        <w:gridCol w:w="316"/>
        <w:gridCol w:w="109"/>
        <w:gridCol w:w="109"/>
        <w:gridCol w:w="109"/>
        <w:gridCol w:w="384"/>
        <w:gridCol w:w="384"/>
        <w:gridCol w:w="388"/>
        <w:gridCol w:w="109"/>
        <w:gridCol w:w="109"/>
        <w:gridCol w:w="109"/>
        <w:gridCol w:w="208"/>
        <w:gridCol w:w="591"/>
        <w:gridCol w:w="117"/>
        <w:gridCol w:w="109"/>
        <w:gridCol w:w="109"/>
        <w:gridCol w:w="109"/>
        <w:gridCol w:w="335"/>
        <w:gridCol w:w="335"/>
        <w:gridCol w:w="336"/>
        <w:gridCol w:w="109"/>
        <w:gridCol w:w="109"/>
        <w:gridCol w:w="109"/>
        <w:gridCol w:w="211"/>
        <w:gridCol w:w="598"/>
        <w:gridCol w:w="169"/>
      </w:tblGrid>
      <w:tr>
        <w:trPr/>
        <w:tc>
          <w:tcPr>
            <w:tcW w:w="14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0"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Outstanding stock options</w:t>
            </w:r>
          </w:p>
        </w:tc>
      </w:tr>
      <w:tr>
        <w:trPr/>
        <w:tc>
          <w:tcPr>
            <w:tcW w:w="3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for exercise prices and term)</w:t>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Number of</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Range of</w:t>
              <w:br/>
              <w:t>exercise</w:t>
              <w:br/>
              <w:t>prices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Weighted-</w:t>
              <w:br/>
              <w:t>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Weighted-</w:t>
              <w:br/>
              <w:t>average</w:t>
              <w:br/>
              <w:t>contractual</w:t>
              <w:br/>
              <w:t>term</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38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as of January 31, 2026</w:t>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$24.36 - 73.61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5,081 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$24.36 - 47.21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as of July 31, 2026</w:t>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$30.57 - 73.61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 and expected to vest as of July 31, 2026</w:t>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Exercisable as of July 31, 2026</w:t>
            </w:r>
          </w:p>
        </w:tc>
        <w:tc>
          <w:tcPr>
            <w:tcW w:w="63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3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51.10 </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5,432 </w:t>
            </w:r>
          </w:p>
        </w:tc>
        <w:tc>
          <w:tcPr>
            <w:tcW w:w="1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Restricted stock units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summary of restricted stock unit ("RSU") and performance restricted stock unit ("PRSU") activity is as follows:</w:t>
      </w:r>
    </w:p>
    <w:tbl>
      <w:tblPr>
        <w:tblW w:w="9272" w:type="dxa"/>
        <w:jc w:val="left"/>
        <w:tblInd w:w="0" w:type="dxa"/>
        <w:tblLayout w:type="fixed"/>
        <w:tblCellMar>
          <w:top w:w="28" w:type="dxa"/>
          <w:left w:w="28" w:type="dxa"/>
          <w:bottom w:w="28" w:type="dxa"/>
          <w:right w:w="28" w:type="dxa"/>
        </w:tblCellMar>
      </w:tblPr>
      <w:tblGrid>
        <w:gridCol w:w="1805"/>
        <w:gridCol w:w="1584"/>
        <w:gridCol w:w="1590"/>
        <w:gridCol w:w="278"/>
        <w:gridCol w:w="278"/>
        <w:gridCol w:w="216"/>
        <w:gridCol w:w="109"/>
        <w:gridCol w:w="109"/>
        <w:gridCol w:w="109"/>
        <w:gridCol w:w="689"/>
        <w:gridCol w:w="1960"/>
        <w:gridCol w:w="545"/>
      </w:tblGrid>
      <w:tr>
        <w:trPr/>
        <w:tc>
          <w:tcPr>
            <w:tcW w:w="1805"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RSUs and PRSUs</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weighted-average grant date fair value)</w:t>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Weighted-average grant date fair value</w:t>
            </w:r>
          </w:p>
        </w:tc>
      </w:tr>
      <w:tr>
        <w:trPr/>
        <w:tc>
          <w:tcPr>
            <w:tcW w:w="49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as of January 31, 2026</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2,168 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84.15 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87.84 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77.14 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89.54 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as of July 31, 2026</w:t>
            </w:r>
          </w:p>
        </w:tc>
        <w:tc>
          <w:tcPr>
            <w:tcW w:w="55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2,768 </w:t>
            </w:r>
          </w:p>
        </w:tc>
        <w:tc>
          <w:tcPr>
            <w:tcW w:w="2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87.19 </w:t>
            </w:r>
          </w:p>
        </w:tc>
        <w:tc>
          <w:tcPr>
            <w:tcW w:w="5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rial;sans-serif" w:hAnsi="Arial;sans-serif"/>
          <w:b/>
          <w:i/>
          <w:color w:val="000000"/>
          <w:sz w:val="20"/>
        </w:rPr>
        <w:t>Performance restricted stock units.</w:t>
      </w:r>
      <w:r>
        <w:rPr>
          <w:color w:val="000000"/>
        </w:rPr>
        <w:t xml:space="preserve"> </w:t>
      </w:r>
      <w:r>
        <w:rPr>
          <w:rFonts w:ascii="Arial;sans-serif" w:hAnsi="Arial;sans-serif"/>
          <w:b w:val="false"/>
          <w:color w:val="000000"/>
          <w:sz w:val="20"/>
        </w:rPr>
        <w:t>During the six months ended July 31, 2026, the Company awarded 240,239 PRSUs subject to a market condition based on the Company’s total shareholder return relative to the Russell 3000 index as measured on January 31, 2029. The Company used a Monte Carlo simulation to determine that the grant date fair value of the awards was $28.8 million. Compensation expense is recorded over the requisite service period if the service condition is met regardless of whether the market condition is satisfied. The market condition allows for a range of vesting from 0% to 200% based on the level of performance achieved. The PRSUs cliff vest upon approval by the Talent, Compensation and Culture Committee of the board of directors.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addition, during the six months ended July 31, 2026, the Company awarded 80,081 PRSUs subject to the achievement of certain financial criteria measured on January 31, 2029. The PRSUs cliff vest and are issued upon approval by the Talent, Compensation and Culture Committee. The Company records stock-based compensation related to PRSUs over the requisite service period when it is considered probable that the performance conditions will be met. The Company believes it is probable that the PRSUs will vest at least in part. The vesting of the PRSUs will ultimately range from 0% to 200% of the number of shares underlying the PRSU grant based on the level of achievement of the performance goals.</w:t>
      </w:r>
    </w:p>
    <w:p>
      <w:pPr>
        <w:pStyle w:val="TextBody"/>
        <w:bidi w:val="0"/>
        <w:spacing w:lineRule="auto" w:line="288" w:before="120" w:after="120"/>
        <w:jc w:val="left"/>
        <w:rPr/>
      </w:pPr>
      <w:r>
        <w:rPr>
          <w:rFonts w:ascii="Arial;sans-serif" w:hAnsi="Arial;sans-serif"/>
          <w:b w:val="false"/>
          <w:color w:val="000000"/>
          <w:sz w:val="20"/>
        </w:rPr>
        <w:t xml:space="preserve">Each of the PRSUs granted during the six months ended July 31, 2026 contains a provision such that upon the award holder's eligible retirement, the PRSUs would remain outstanding and eligible to vest based on achievement of their respective market or performance conditions without regard to the award holder’s continued employment on the vesting date. Based on the application of ASC 718, </w:t>
      </w:r>
      <w:r>
        <w:rPr>
          <w:rFonts w:ascii="Arial;sans-serif" w:hAnsi="Arial;sans-serif"/>
          <w:b w:val="false"/>
          <w:i/>
          <w:color w:val="000000"/>
          <w:sz w:val="20"/>
        </w:rPr>
        <w:t>Compensation - Stock Compensation</w:t>
      </w:r>
      <w:r>
        <w:rPr>
          <w:rFonts w:ascii="Arial;sans-serif" w:hAnsi="Arial;sans-serif"/>
          <w:b w:val="false"/>
          <w:color w:val="000000"/>
          <w:sz w:val="20"/>
        </w:rPr>
        <w:t>, expense is recognized over the requisite service period, which ends on the earlier of (1) the date of approval by the Talent, Compensation and Culture Committee or (2) the date the award holder becomes eligible for retirement. As a result, the expense associated with PRSUs granted to retirement-eligible individuals was recorded on the grant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Arial;sans-serif" w:hAnsi="Arial;sans-serif"/>
          <w:b/>
          <w:color w:val="000000"/>
          <w:sz w:val="24"/>
        </w:rPr>
        <w:t xml:space="preserve">Note 9. </w:t>
      </w:r>
      <w:r>
        <w:rPr>
          <w:rFonts w:ascii="Arial;sans-serif" w:hAnsi="Arial;sans-serif"/>
          <w:b/>
          <w:color w:val="000000"/>
          <w:sz w:val="24"/>
          <w:u w:val="single"/>
        </w:rPr>
        <w:t>Stockholders' equity</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Stock repurchase program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August 2024, the Company's board of directors authorized the repurchase of up to $300 million of its common stock. In June 2025 and May 2026, the board of directors increased the common stock repurchase authorization by $300 million and $1.0 billion,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common stock may be repurchased at prices that the Company deems appropriate and subject to market conditions, applicable law, and other factors deemed relevant in the Company's sole discretion. Such repurchases may be effected through open market purchases, privately negotiated transactions or otherwise, including repurchase plans that satisfy the conditions of Rule 10b5-1 under the Securities Exchange Act of 1934. The common stock repurchase program does not obligate the Company to repurchase any dollar amount or number of shares of common stock and may be suspended or discontinued at any time.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the common stock repurchased and subsequently retired during the three and six months ended July 31, 2026:</w:t>
      </w:r>
    </w:p>
    <w:tbl>
      <w:tblPr>
        <w:tblW w:w="8482" w:type="dxa"/>
        <w:jc w:val="left"/>
        <w:tblInd w:w="0" w:type="dxa"/>
        <w:tblLayout w:type="fixed"/>
        <w:tblCellMar>
          <w:top w:w="28" w:type="dxa"/>
          <w:left w:w="28" w:type="dxa"/>
          <w:bottom w:w="28" w:type="dxa"/>
          <w:right w:w="28" w:type="dxa"/>
        </w:tblCellMar>
      </w:tblPr>
      <w:tblGrid>
        <w:gridCol w:w="889"/>
        <w:gridCol w:w="784"/>
        <w:gridCol w:w="786"/>
        <w:gridCol w:w="215"/>
        <w:gridCol w:w="215"/>
        <w:gridCol w:w="216"/>
        <w:gridCol w:w="180"/>
        <w:gridCol w:w="180"/>
        <w:gridCol w:w="180"/>
        <w:gridCol w:w="324"/>
        <w:gridCol w:w="1218"/>
        <w:gridCol w:w="180"/>
        <w:gridCol w:w="109"/>
        <w:gridCol w:w="109"/>
        <w:gridCol w:w="109"/>
        <w:gridCol w:w="215"/>
        <w:gridCol w:w="215"/>
        <w:gridCol w:w="216"/>
        <w:gridCol w:w="165"/>
        <w:gridCol w:w="165"/>
        <w:gridCol w:w="165"/>
        <w:gridCol w:w="297"/>
        <w:gridCol w:w="1117"/>
        <w:gridCol w:w="233"/>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 2026</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thousands)</w:t>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Shares</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Shares</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Amount</w:t>
            </w:r>
          </w:p>
        </w:tc>
      </w:tr>
      <w:tr>
        <w:trPr/>
        <w:tc>
          <w:tcPr>
            <w:tcW w:w="245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repurchases (1)</w:t>
            </w:r>
          </w:p>
        </w:tc>
        <w:tc>
          <w:tcPr>
            <w:tcW w:w="64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w:t>
            </w:r>
          </w:p>
        </w:tc>
        <w:tc>
          <w:tcPr>
            <w:tcW w:w="54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108,136 </w:t>
            </w:r>
          </w:p>
        </w:tc>
        <w:tc>
          <w:tcPr>
            <w:tcW w:w="18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2,728</w:t>
            </w:r>
          </w:p>
        </w:tc>
        <w:tc>
          <w:tcPr>
            <w:tcW w:w="49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231,134 </w:t>
            </w:r>
          </w:p>
        </w:tc>
        <w:tc>
          <w:tcPr>
            <w:tcW w:w="23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270"/>
        <w:jc w:val="left"/>
        <w:rPr>
          <w:rFonts w:ascii="Arial;sans-serif" w:hAnsi="Arial;sans-serif"/>
          <w:b w:val="false"/>
          <w:color w:val="000000"/>
          <w:sz w:val="16"/>
        </w:rPr>
      </w:pPr>
      <w:r>
        <w:rPr>
          <w:rFonts w:ascii="Arial;sans-serif" w:hAnsi="Arial;sans-serif"/>
          <w:b w:val="false"/>
          <w:color w:val="000000"/>
          <w:sz w:val="16"/>
        </w:rPr>
        <w:t>(1)Shares repurchased include unsettled repurchases as of July 31, 2026. Transaction fees and excise tax were recorded as part of the repurchase price.</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All repurchases were made in open market transactions. The excess of repurchase price over par value was allocated between additional paid-in capital and retained earnings. As of July 31, 2026, $948.4 million of common stock remained authorized for repurchase under the common stock repurchase program.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Accumulated other comprehensive loss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of July 31, 2026 and January 31, 2026, accumulated other comprehensive income or loss ("AOCI") consisted of unrealized losses on cash flow hedges, net.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tables summarize the changes in AOCI during the three and six months ended July 31, 2026:</w:t>
      </w:r>
    </w:p>
    <w:tbl>
      <w:tblPr>
        <w:tblW w:w="10205" w:type="dxa"/>
        <w:jc w:val="left"/>
        <w:tblInd w:w="0" w:type="dxa"/>
        <w:tblLayout w:type="fixed"/>
        <w:tblCellMar>
          <w:top w:w="28" w:type="dxa"/>
          <w:left w:w="28" w:type="dxa"/>
          <w:bottom w:w="28" w:type="dxa"/>
          <w:right w:w="28" w:type="dxa"/>
        </w:tblCellMar>
      </w:tblPr>
      <w:tblGrid>
        <w:gridCol w:w="1435"/>
        <w:gridCol w:w="1266"/>
        <w:gridCol w:w="1275"/>
        <w:gridCol w:w="682"/>
        <w:gridCol w:w="2499"/>
        <w:gridCol w:w="378"/>
        <w:gridCol w:w="109"/>
        <w:gridCol w:w="109"/>
        <w:gridCol w:w="109"/>
        <w:gridCol w:w="196"/>
        <w:gridCol w:w="646"/>
        <w:gridCol w:w="109"/>
        <w:gridCol w:w="109"/>
        <w:gridCol w:w="109"/>
        <w:gridCol w:w="109"/>
        <w:gridCol w:w="196"/>
        <w:gridCol w:w="711"/>
        <w:gridCol w:w="158"/>
      </w:tblGrid>
      <w:tr>
        <w:trPr/>
        <w:tc>
          <w:tcPr>
            <w:tcW w:w="143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unrealized losses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r>
      <w:tr>
        <w:trPr/>
        <w:tc>
          <w:tcPr>
            <w:tcW w:w="39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 30, 2026</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(42,069)</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(31,752)</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3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(49,463)</w:t>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(37,322)</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AOCI</w:t>
            </w:r>
          </w:p>
        </w:tc>
        <w:tc>
          <w:tcPr>
            <w:tcW w:w="3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AOCI</w:t>
            </w:r>
          </w:p>
        </w:tc>
        <w:tc>
          <w:tcPr>
            <w:tcW w:w="3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(49,435)</w:t>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(37,300)</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July 31, 2026</w:t>
            </w:r>
          </w:p>
        </w:tc>
        <w:tc>
          <w:tcPr>
            <w:tcW w:w="68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9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(91,504)</w:t>
            </w:r>
          </w:p>
        </w:tc>
        <w:tc>
          <w:tcPr>
            <w:tcW w:w="37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(69,052)</w:t>
            </w:r>
          </w:p>
        </w:tc>
        <w:tc>
          <w:tcPr>
            <w:tcW w:w="15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43"/>
        <w:gridCol w:w="1274"/>
        <w:gridCol w:w="1260"/>
        <w:gridCol w:w="682"/>
        <w:gridCol w:w="2499"/>
        <w:gridCol w:w="378"/>
        <w:gridCol w:w="109"/>
        <w:gridCol w:w="109"/>
        <w:gridCol w:w="109"/>
        <w:gridCol w:w="196"/>
        <w:gridCol w:w="646"/>
        <w:gridCol w:w="109"/>
        <w:gridCol w:w="109"/>
        <w:gridCol w:w="109"/>
        <w:gridCol w:w="109"/>
        <w:gridCol w:w="196"/>
        <w:gridCol w:w="711"/>
        <w:gridCol w:w="157"/>
      </w:tblGrid>
      <w:tr>
        <w:trPr/>
        <w:tc>
          <w:tcPr>
            <w:tcW w:w="144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unrealized losses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r>
      <w:tr>
        <w:trPr/>
        <w:tc>
          <w:tcPr>
            <w:tcW w:w="39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31, 2026</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(7,561)</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3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(83,775)</w:t>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(63,219)</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AOCI</w:t>
            </w:r>
          </w:p>
        </w:tc>
        <w:tc>
          <w:tcPr>
            <w:tcW w:w="3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AOCI</w:t>
            </w:r>
          </w:p>
        </w:tc>
        <w:tc>
          <w:tcPr>
            <w:tcW w:w="3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(83,943)</w:t>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(63,345)</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July 31, 2026</w:t>
            </w:r>
          </w:p>
        </w:tc>
        <w:tc>
          <w:tcPr>
            <w:tcW w:w="68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9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(91,504)</w:t>
            </w:r>
          </w:p>
        </w:tc>
        <w:tc>
          <w:tcPr>
            <w:tcW w:w="37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(69,052)</w:t>
            </w:r>
          </w:p>
        </w:tc>
        <w:tc>
          <w:tcPr>
            <w:tcW w:w="15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tables summarize the changes in AOCI during the three and six months ended July 31, 2025:</w:t>
      </w:r>
    </w:p>
    <w:tbl>
      <w:tblPr>
        <w:tblW w:w="10205" w:type="dxa"/>
        <w:jc w:val="left"/>
        <w:tblInd w:w="0" w:type="dxa"/>
        <w:tblLayout w:type="fixed"/>
        <w:tblCellMar>
          <w:top w:w="28" w:type="dxa"/>
          <w:left w:w="28" w:type="dxa"/>
          <w:bottom w:w="28" w:type="dxa"/>
          <w:right w:w="28" w:type="dxa"/>
        </w:tblCellMar>
      </w:tblPr>
      <w:tblGrid>
        <w:gridCol w:w="1517"/>
        <w:gridCol w:w="1338"/>
        <w:gridCol w:w="1348"/>
        <w:gridCol w:w="998"/>
        <w:gridCol w:w="2146"/>
        <w:gridCol w:w="560"/>
        <w:gridCol w:w="109"/>
        <w:gridCol w:w="109"/>
        <w:gridCol w:w="109"/>
        <w:gridCol w:w="239"/>
        <w:gridCol w:w="496"/>
        <w:gridCol w:w="132"/>
        <w:gridCol w:w="109"/>
        <w:gridCol w:w="109"/>
        <w:gridCol w:w="109"/>
        <w:gridCol w:w="196"/>
        <w:gridCol w:w="421"/>
        <w:gridCol w:w="160"/>
      </w:tblGrid>
      <w:tr>
        <w:trPr/>
        <w:tc>
          <w:tcPr>
            <w:tcW w:w="151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unrealized gains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r>
      <w:tr>
        <w:trPr/>
        <w:tc>
          <w:tcPr>
            <w:tcW w:w="4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 30, 2025</w:t>
            </w:r>
          </w:p>
        </w:tc>
        <w:tc>
          <w:tcPr>
            <w:tcW w:w="9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3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5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AOCI</w:t>
            </w:r>
          </w:p>
        </w:tc>
        <w:tc>
          <w:tcPr>
            <w:tcW w:w="3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AOCI</w:t>
            </w:r>
          </w:p>
        </w:tc>
        <w:tc>
          <w:tcPr>
            <w:tcW w:w="3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5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July 31, 2025</w:t>
            </w:r>
          </w:p>
        </w:tc>
        <w:tc>
          <w:tcPr>
            <w:tcW w:w="99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56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6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22"/>
        <w:gridCol w:w="1344"/>
        <w:gridCol w:w="1338"/>
        <w:gridCol w:w="998"/>
        <w:gridCol w:w="2146"/>
        <w:gridCol w:w="560"/>
        <w:gridCol w:w="109"/>
        <w:gridCol w:w="109"/>
        <w:gridCol w:w="109"/>
        <w:gridCol w:w="239"/>
        <w:gridCol w:w="496"/>
        <w:gridCol w:w="132"/>
        <w:gridCol w:w="109"/>
        <w:gridCol w:w="109"/>
        <w:gridCol w:w="109"/>
        <w:gridCol w:w="196"/>
        <w:gridCol w:w="421"/>
        <w:gridCol w:w="159"/>
      </w:tblGrid>
      <w:tr>
        <w:trPr/>
        <w:tc>
          <w:tcPr>
            <w:tcW w:w="152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unrealized gains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r>
      <w:tr>
        <w:trPr/>
        <w:tc>
          <w:tcPr>
            <w:tcW w:w="42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31, 2025</w:t>
            </w:r>
          </w:p>
        </w:tc>
        <w:tc>
          <w:tcPr>
            <w:tcW w:w="9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3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5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AOCI</w:t>
            </w:r>
          </w:p>
        </w:tc>
        <w:tc>
          <w:tcPr>
            <w:tcW w:w="3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AOCI</w:t>
            </w:r>
          </w:p>
        </w:tc>
        <w:tc>
          <w:tcPr>
            <w:tcW w:w="3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5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July 31, 2025</w:t>
            </w:r>
          </w:p>
        </w:tc>
        <w:tc>
          <w:tcPr>
            <w:tcW w:w="99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56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5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10. </w:t>
      </w:r>
      <w:r>
        <w:rPr>
          <w:rFonts w:ascii="Arial;sans-serif" w:hAnsi="Arial;sans-serif"/>
          <w:b/>
          <w:color w:val="000000"/>
          <w:sz w:val="24"/>
          <w:u w:val="single"/>
        </w:rPr>
        <w:t>Derivative financial instruments and hedging activities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Yields paid by the Company's insurance company partners and depository partners are impacted by the prevailing interest rate environment at the time HSA cash is placed with those partners. The Company uses Treasury bond forwards to hedge a portion of the benchmark interest rate risk of expected future placements of HSA cash. These derivatives involve the Company and its counterparty agreeing to fix the price of a specified Treasury bond on a future date, ranging from August 2026 to January 2029, resulting in cash settlement for the difference between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fixed price and the market price on that date. The parties may elect net settlement of multiple transactions under certain conditions; however, the Company presents its derivative assets and liabilities on a gross basis on its condensed consolidated balance sheets. The gain or loss on the derivative is recorded in AOCI and subsequently reclassified into custodial revenue in the same periods during which the hedged transaction affects custodial revenue earned from the Company's insurance company partners and depository partners. As of July 31, 2026, each of the Company's derivatives was designated as a cash flow hedge.</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As of July 31, 2026, the weighted-average interest rate indicated by the Company's Treasury bond forwards was 3.93%.</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Notional amount of derivative contracts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notional amount of the Company's derivative instruments was as follows:</w:t>
      </w:r>
    </w:p>
    <w:tbl>
      <w:tblPr>
        <w:tblW w:w="9285" w:type="dxa"/>
        <w:jc w:val="left"/>
        <w:tblInd w:w="0" w:type="dxa"/>
        <w:tblLayout w:type="fixed"/>
        <w:tblCellMar>
          <w:top w:w="28" w:type="dxa"/>
          <w:left w:w="28" w:type="dxa"/>
          <w:bottom w:w="28" w:type="dxa"/>
          <w:right w:w="28" w:type="dxa"/>
        </w:tblCellMar>
      </w:tblPr>
      <w:tblGrid>
        <w:gridCol w:w="727"/>
        <w:gridCol w:w="639"/>
        <w:gridCol w:w="643"/>
        <w:gridCol w:w="649"/>
        <w:gridCol w:w="649"/>
        <w:gridCol w:w="651"/>
        <w:gridCol w:w="109"/>
        <w:gridCol w:w="109"/>
        <w:gridCol w:w="109"/>
        <w:gridCol w:w="196"/>
        <w:gridCol w:w="871"/>
        <w:gridCol w:w="109"/>
        <w:gridCol w:w="109"/>
        <w:gridCol w:w="109"/>
        <w:gridCol w:w="109"/>
        <w:gridCol w:w="649"/>
        <w:gridCol w:w="649"/>
        <w:gridCol w:w="651"/>
        <w:gridCol w:w="109"/>
        <w:gridCol w:w="109"/>
        <w:gridCol w:w="109"/>
        <w:gridCol w:w="196"/>
        <w:gridCol w:w="871"/>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 thousands, except </w:t>
              <w:br/>
              <w:t>number of instruments)</w:t>
            </w:r>
          </w:p>
        </w:tc>
        <w:tc>
          <w:tcPr>
            <w:tcW w:w="345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r>
      <w:tr>
        <w:trPr/>
        <w:tc>
          <w:tcPr>
            <w:tcW w:w="200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Notional</w:t>
            </w:r>
          </w:p>
        </w:tc>
      </w:tr>
      <w:tr>
        <w:trPr/>
        <w:tc>
          <w:tcPr>
            <w:tcW w:w="200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bond forwards</w:t>
            </w:r>
          </w:p>
        </w:tc>
        <w:tc>
          <w:tcPr>
            <w:tcW w:w="194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3,035,000 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2,350,000 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Fair value of derivative contracts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tables below present the fair value of the Company’s derivatives as well as their classification in the condensed consolidated balance sheet.</w:t>
      </w:r>
    </w:p>
    <w:tbl>
      <w:tblPr>
        <w:tblW w:w="9393" w:type="dxa"/>
        <w:jc w:val="left"/>
        <w:tblInd w:w="0" w:type="dxa"/>
        <w:tblLayout w:type="fixed"/>
        <w:tblCellMar>
          <w:top w:w="28" w:type="dxa"/>
          <w:left w:w="28" w:type="dxa"/>
          <w:bottom w:w="28" w:type="dxa"/>
          <w:right w:w="28" w:type="dxa"/>
        </w:tblCellMar>
      </w:tblPr>
      <w:tblGrid>
        <w:gridCol w:w="683"/>
        <w:gridCol w:w="602"/>
        <w:gridCol w:w="604"/>
        <w:gridCol w:w="475"/>
        <w:gridCol w:w="985"/>
        <w:gridCol w:w="264"/>
        <w:gridCol w:w="109"/>
        <w:gridCol w:w="109"/>
        <w:gridCol w:w="109"/>
        <w:gridCol w:w="306"/>
        <w:gridCol w:w="634"/>
        <w:gridCol w:w="170"/>
        <w:gridCol w:w="109"/>
        <w:gridCol w:w="109"/>
        <w:gridCol w:w="109"/>
        <w:gridCol w:w="289"/>
        <w:gridCol w:w="1065"/>
        <w:gridCol w:w="161"/>
        <w:gridCol w:w="109"/>
        <w:gridCol w:w="109"/>
        <w:gridCol w:w="109"/>
        <w:gridCol w:w="398"/>
        <w:gridCol w:w="1464"/>
        <w:gridCol w:w="312"/>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4"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July 31, 2026</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 liabilities</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Accrued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Other long-term liabilities</w:t>
            </w:r>
          </w:p>
        </w:tc>
      </w:tr>
      <w:tr>
        <w:trPr/>
        <w:tc>
          <w:tcPr>
            <w:tcW w:w="188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bond forwards</w:t>
            </w:r>
          </w:p>
        </w:tc>
        <w:tc>
          <w:tcPr>
            <w:tcW w:w="47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(37,874)</w:t>
            </w:r>
          </w:p>
        </w:tc>
        <w:tc>
          <w:tcPr>
            <w:tcW w:w="1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(47,324)</w:t>
            </w:r>
          </w:p>
        </w:tc>
        <w:tc>
          <w:tcPr>
            <w:tcW w:w="31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92" w:type="dxa"/>
        <w:jc w:val="left"/>
        <w:tblInd w:w="0" w:type="dxa"/>
        <w:tblLayout w:type="fixed"/>
        <w:tblCellMar>
          <w:top w:w="28" w:type="dxa"/>
          <w:left w:w="28" w:type="dxa"/>
          <w:bottom w:w="28" w:type="dxa"/>
          <w:right w:w="28" w:type="dxa"/>
        </w:tblCellMar>
      </w:tblPr>
      <w:tblGrid>
        <w:gridCol w:w="683"/>
        <w:gridCol w:w="602"/>
        <w:gridCol w:w="604"/>
        <w:gridCol w:w="475"/>
        <w:gridCol w:w="985"/>
        <w:gridCol w:w="264"/>
        <w:gridCol w:w="109"/>
        <w:gridCol w:w="109"/>
        <w:gridCol w:w="109"/>
        <w:gridCol w:w="252"/>
        <w:gridCol w:w="717"/>
        <w:gridCol w:w="140"/>
        <w:gridCol w:w="109"/>
        <w:gridCol w:w="109"/>
        <w:gridCol w:w="109"/>
        <w:gridCol w:w="317"/>
        <w:gridCol w:w="1022"/>
        <w:gridCol w:w="176"/>
        <w:gridCol w:w="109"/>
        <w:gridCol w:w="109"/>
        <w:gridCol w:w="109"/>
        <w:gridCol w:w="434"/>
        <w:gridCol w:w="1399"/>
        <w:gridCol w:w="341"/>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 liabilities</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Accrued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Other long-term liabilities</w:t>
            </w:r>
          </w:p>
        </w:tc>
      </w:tr>
      <w:tr>
        <w:trPr/>
        <w:tc>
          <w:tcPr>
            <w:tcW w:w="188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bond forwards</w:t>
            </w:r>
          </w:p>
        </w:tc>
        <w:tc>
          <w:tcPr>
            <w:tcW w:w="47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3,285 </w:t>
            </w:r>
          </w:p>
        </w:tc>
        <w:tc>
          <w:tcPr>
            <w:tcW w:w="14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(6,935)</w:t>
            </w:r>
          </w:p>
        </w:tc>
        <w:tc>
          <w:tcPr>
            <w:tcW w:w="1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9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(7,997)</w:t>
            </w:r>
          </w:p>
        </w:tc>
        <w:tc>
          <w:tcPr>
            <w:tcW w:w="3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Effect of derivatives on the condensed consolidated financial statements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pre-tax gains (losses) on the Company's cash flow hedges recognized in AOCI were as follows:</w:t>
      </w:r>
    </w:p>
    <w:tbl>
      <w:tblPr>
        <w:tblW w:w="6843" w:type="dxa"/>
        <w:jc w:val="left"/>
        <w:tblInd w:w="0" w:type="dxa"/>
        <w:tblLayout w:type="fixed"/>
        <w:tblCellMar>
          <w:top w:w="28" w:type="dxa"/>
          <w:left w:w="28" w:type="dxa"/>
          <w:bottom w:w="28" w:type="dxa"/>
          <w:right w:w="28" w:type="dxa"/>
        </w:tblCellMar>
      </w:tblPr>
      <w:tblGrid>
        <w:gridCol w:w="683"/>
        <w:gridCol w:w="602"/>
        <w:gridCol w:w="604"/>
        <w:gridCol w:w="226"/>
        <w:gridCol w:w="832"/>
        <w:gridCol w:w="125"/>
        <w:gridCol w:w="125"/>
        <w:gridCol w:w="125"/>
        <w:gridCol w:w="125"/>
        <w:gridCol w:w="226"/>
        <w:gridCol w:w="486"/>
        <w:gridCol w:w="125"/>
        <w:gridCol w:w="109"/>
        <w:gridCol w:w="109"/>
        <w:gridCol w:w="109"/>
        <w:gridCol w:w="206"/>
        <w:gridCol w:w="759"/>
        <w:gridCol w:w="114"/>
        <w:gridCol w:w="114"/>
        <w:gridCol w:w="114"/>
        <w:gridCol w:w="114"/>
        <w:gridCol w:w="206"/>
        <w:gridCol w:w="443"/>
        <w:gridCol w:w="162"/>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188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bond forwards</w:t>
            </w:r>
          </w:p>
        </w:tc>
        <w:tc>
          <w:tcPr>
            <w:tcW w:w="2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(49,463)</w:t>
            </w:r>
          </w:p>
        </w:tc>
        <w:tc>
          <w:tcPr>
            <w:tcW w:w="12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2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(83,775)</w:t>
            </w:r>
          </w:p>
        </w:tc>
        <w:tc>
          <w:tcPr>
            <w:tcW w:w="1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6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Total amounts presented in the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513"/>
        <w:gridCol w:w="452"/>
        <w:gridCol w:w="453"/>
        <w:gridCol w:w="304"/>
        <w:gridCol w:w="537"/>
        <w:gridCol w:w="170"/>
        <w:gridCol w:w="109"/>
        <w:gridCol w:w="109"/>
        <w:gridCol w:w="109"/>
        <w:gridCol w:w="376"/>
        <w:gridCol w:w="461"/>
        <w:gridCol w:w="210"/>
        <w:gridCol w:w="109"/>
        <w:gridCol w:w="109"/>
        <w:gridCol w:w="109"/>
        <w:gridCol w:w="448"/>
        <w:gridCol w:w="791"/>
        <w:gridCol w:w="250"/>
        <w:gridCol w:w="109"/>
        <w:gridCol w:w="109"/>
        <w:gridCol w:w="109"/>
        <w:gridCol w:w="279"/>
        <w:gridCol w:w="578"/>
        <w:gridCol w:w="155"/>
        <w:gridCol w:w="109"/>
        <w:gridCol w:w="109"/>
        <w:gridCol w:w="109"/>
        <w:gridCol w:w="288"/>
        <w:gridCol w:w="598"/>
        <w:gridCol w:w="162"/>
        <w:gridCol w:w="109"/>
        <w:gridCol w:w="109"/>
        <w:gridCol w:w="109"/>
        <w:gridCol w:w="397"/>
        <w:gridCol w:w="823"/>
        <w:gridCol w:w="325"/>
      </w:tblGrid>
      <w:tr>
        <w:trPr/>
        <w:tc>
          <w:tcPr>
            <w:tcW w:w="51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Custodial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Income tax 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Custodial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reclassifications</w:t>
            </w:r>
          </w:p>
        </w:tc>
      </w:tr>
      <w:tr>
        <w:trPr/>
        <w:tc>
          <w:tcPr>
            <w:tcW w:w="14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bond forwards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of losses reclassified from AOCI</w:t>
            </w:r>
          </w:p>
        </w:tc>
        <w:tc>
          <w:tcPr>
            <w:tcW w:w="30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7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1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5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08"/>
        <w:gridCol w:w="448"/>
        <w:gridCol w:w="449"/>
        <w:gridCol w:w="274"/>
        <w:gridCol w:w="588"/>
        <w:gridCol w:w="152"/>
        <w:gridCol w:w="109"/>
        <w:gridCol w:w="109"/>
        <w:gridCol w:w="109"/>
        <w:gridCol w:w="315"/>
        <w:gridCol w:w="557"/>
        <w:gridCol w:w="178"/>
        <w:gridCol w:w="109"/>
        <w:gridCol w:w="109"/>
        <w:gridCol w:w="109"/>
        <w:gridCol w:w="401"/>
        <w:gridCol w:w="864"/>
        <w:gridCol w:w="225"/>
        <w:gridCol w:w="109"/>
        <w:gridCol w:w="109"/>
        <w:gridCol w:w="109"/>
        <w:gridCol w:w="279"/>
        <w:gridCol w:w="579"/>
        <w:gridCol w:w="156"/>
        <w:gridCol w:w="109"/>
        <w:gridCol w:w="109"/>
        <w:gridCol w:w="109"/>
        <w:gridCol w:w="288"/>
        <w:gridCol w:w="599"/>
        <w:gridCol w:w="163"/>
        <w:gridCol w:w="109"/>
        <w:gridCol w:w="109"/>
        <w:gridCol w:w="109"/>
        <w:gridCol w:w="397"/>
        <w:gridCol w:w="824"/>
        <w:gridCol w:w="326"/>
      </w:tblGrid>
      <w:tr>
        <w:trPr/>
        <w:tc>
          <w:tcPr>
            <w:tcW w:w="50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July 31,</w:t>
            </w:r>
          </w:p>
        </w:tc>
      </w:tr>
      <w:tr>
        <w:trPr/>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Custodial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Income tax 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 reclassifications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Custodial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Income tax 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 reclassifications</w:t>
            </w:r>
          </w:p>
        </w:tc>
      </w:tr>
      <w:tr>
        <w:trPr/>
        <w:tc>
          <w:tcPr>
            <w:tcW w:w="14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bond forwards</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of gains reclassified from AOCI</w:t>
            </w:r>
          </w:p>
        </w:tc>
        <w:tc>
          <w:tcPr>
            <w:tcW w:w="2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5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22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July 31, 2026, the estimated net amount of existing losses from treasury bond forwards that is expected to be reclassified into custodial revenue within the next 12 months is $6.1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11. </w:t>
      </w:r>
      <w:r>
        <w:rPr>
          <w:rFonts w:ascii="Arial;sans-serif" w:hAnsi="Arial;sans-serif"/>
          <w:b/>
          <w:color w:val="000000"/>
          <w:sz w:val="24"/>
          <w:u w:val="single"/>
        </w:rPr>
        <w:t>Fair value</w:t>
      </w:r>
      <w:r>
        <w:rPr>
          <w:color w:val="000000"/>
        </w:rPr>
        <w:t xml:space="pre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Fair value measurements are made at a specific point in time based on relevant market information. Fair value is defined as the price that would be received to sell an asset or paid to transfer a liability in the principal or most advantageous market for the asset or liability in an orderly transaction between market participants at the measurement date.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 value hierarchy: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1—quoted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2—inputs, other than the quoted prices in active markets, that are observable either directly or indirectly;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3—unobservable inputs based on the Company’s own assumptions.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Cash and cash equivalents are considered Level 1 instruments and are valued based on publicly available daily net asset values. The carrying values of cash and cash equivalents approximate fair values due to the short-term nature of these instruments.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Notes are valued based upon quoted market prices and are considered Level 2 instruments because the markets in which the Notes trade are not considered active markets. As of July 31, 2026, the fair value of the Notes was $583.0 million.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Revolving Credit Facility is considered a Level 2 instrument, and the amounts outstanding thereunder are recorded at book value in the Company's condensed consolidated financial statements. The Revolving Credit Facility reprices frequently due to variable interest rate terms and entails no significant changes in credit risk. As a result, the fair value of the Revolving Credit Facility approximates carrying value.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classifies derivative instruments as Level 2 within the fair value hierarchy. These instruments are valued using industry standard valuation models that use observable inputs such as interest rate curves and implied volatilities.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283"/>
        <w:jc w:val="left"/>
        <w:rPr>
          <w:rFonts w:ascii="Arial;sans-serif" w:hAnsi="Arial;sans-serif"/>
          <w:b/>
          <w:color w:val="000000"/>
          <w:sz w:val="28"/>
        </w:rPr>
      </w:pPr>
      <w:r>
        <w:rPr>
          <w:rFonts w:ascii="Arial;sans-serif" w:hAnsi="Arial;sans-serif"/>
          <w:b/>
          <w:color w:val="000000"/>
          <w:sz w:val="28"/>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Statements that are not purely historical are forward-looking statements within the meaning of Section 27A of the Securities Act of 1933, as amended (the “Securities Act”), and Section 21E of the Securities Exchange Act of 1934, as amended (the “Exchange Act”). Forward-looking statements are often identified by the use of words such as, but not limited to, “anticipate,” “believe,” “can,” “continue,” “could,” “estimate,” “expect,” “intend,” “may,” “plan,” “project,” “seek,” “should,” “target,” “will,” “would” and similar expressions or variations intended to identify forward-looking statements. Such statements include, but are not limited to, statements concerning our ability to integrate acquired businesses, the anticipated synergies and other benefits of acquired businesses and any future acquisitions, health savings accounts and other tax-advantaged consumer-directed benefits, tax and other regulatory changes, market opportunity, our future financial and operating results, our investment and acquisition strategy, our sales and marketing strategy, management’s plans, beliefs and objectives for future operations, technology and development, economic and industry trends or trend analysis, expectations about seasonality, opportunity for portfolio purchases and other acquisitions, operating expenses, anticipated income tax rates, capital expenditures, cash flows and liquidity. These statements are based on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fiscal year ended January 31, 2026 and our other reports filed with the SEC. Furthermore, such forward-looking statements speak only as of the date of this report. Except as required by law, we undertake no obligation to update any forward-looking statements to reflect events or circumstances after the date of such events.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4"/>
        </w:rPr>
      </w:pPr>
      <w:r>
        <w:rPr>
          <w:rFonts w:ascii="Arial;sans-serif" w:hAnsi="Arial;sans-serif"/>
          <w:b/>
          <w:color w:val="000000"/>
          <w:sz w:val="24"/>
        </w:rPr>
        <w:t>Overview</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a leader and an innovator in providing technology-enabled services that empower consumers to make healthcare saving, spending, and investing decisions. We use our innovative technology to manage consumers' tax-advantaged health savings accounts ("HSAs") and other consumer-directed benefits ("CDBs") offered by employers, including flexible spending accounts and health reimbursement arrangements (“FSAs” and “HRAs”), and to administer Consolidated Omnibus Budget Reconciliation Act (“COBRA”), commuter and other benefits. As part of our services, we provide consumers with payment processing services, personalized benefit information, access to certain healthcare products, programs, and services, made available in our marketplace through partnerships with third</w:t>
        <w:noBreakHyphen/>
        <w:t>party providers, and investment advice to grow their tax-advantaged healthcare savings. We are increasingly using AI in our business, both to improve customer service and engagement and to increase efficiencies.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core of our offerings is the HSA, a financial account through which consumers save, spend, and invest their healthcare dollars on a tax-advantaged basis. As of July 31, 2026, we administered 10.7 million HSAs, with balances totaling $37.9 billion, which we call HSA Assets, as well as 7.0 million complementary CDBs. We refer to the aggregate number of HSAs and other CDBs that we administer as Total Accounts, of which we had 17.8 million as of July 31, 2026.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reach consumers primarily through relationships with their employers, which we call Clients. We reach Clients primarily through relationships with benefits brokers and advisors, integrated partnerships with a network of health plans, benefits administrators, and retirement plan recordkeepers, which we call Network Partners, and a sales force that calls on Clients directly.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have increased our share of the growing HSA market from 4% in December 2010 to 20% as of December 2025, measured by HSA Assets. According to the 2025 Year-End Devenir HSA Research Report, as of December 2025, we were the largest HSA provider by number of accounts and the second largest HSA provider by HSA Assets. In addition, we believe we are the largest provider of other CDBs. We seek to differentiate ourselves through our service-driven culture, product breadth, ecosystem connectivity, and proprietary technology, which enable our members to better save, spend, and invest their healthcare dollars. Our proprietary technology allows us to help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consumers optimize the value of their HSAs and other CDBs and gain confidence and skills in managing their healthcare costs as part of their financial security.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ability to assist consumers is enhanced by our capacity to securely share data in both directions with others in the health, benefits, and retirement ecosystems.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earn revenue primarily from three sources: service, custodial, and interchange. We earn service revenue mainly from fees paid by our Clients, Network Partners, and members for the administration services we provide in connection with the HSAs and other CDBs we offer. Service revenue also includes revenue earned from invested HSA Assets and our marketplace. We earn custodial revenue primarily from HSA cash held by our insurance company partners, HSA cash held by our federally insured bank and credit union partners, which we collectively call our Depository Partners, and Client-held funds deposited with our Depository Partners. We earn interchange revenue mainly from fees paid by merchants on payments that our members make using our physical payment cards and on our virtual payment system. See “Key components of our results of operations” for additional information on our sources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Key factors affecting our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that our future performance will be driven by a number of factors, including those identified below. Each of these factors presents both significant opportunities and significant risks to our future performance. See also the section entitled “Risk factors” included in our Annual Report on Form 10-K for the fiscal year ended January 31, 2026 and our other reports filed with the SEC.</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Our selective acquisition strategy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historically acquired HSA portfolios and businesses that we believe strengthen our service offerings. We expect to continue this growth strategy and are regularly engaged in evaluating different opportunities. We have developed an internal capability to source, evaluate, and integrate acquisitions. We believe the nature of our competitive landscape provides significant acquisition opportunities. Many of our competitors view their HSA businesses as non-core functions. We believe they may look to divest these assets and, in certain cases, may be limited from making acquisitions due to depository capital requirements. Our success depends in part on our ability to successfully integrate acquired businesses and HSA portfolios with our business in an efficient and effective manner.</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Structural change in U.S. health insurance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derive revenue primarily from healthcare-related saving and spending by consumers in the U.S., which are driven by changes in the broader healthcare industry, including the structure of health insurance. According to the 2025 KFF Employer Health Benefits Survey, the average family premium for health insurance has risen by 26% since 2020 and 53% since 2015, resulting in increased participation in HSA-qualified health plans and HSAs and increased consumer cost-sharing in health insurance more generally. In July 2025, the “One Big Beautiful Bill Act” was signed into law, which expanded HSA availability to individuals with Bronze and Catastrophic health plans and expanded HSA eligibility to include a broader range of healthcare services. We believe that continued growth in healthcare costs and related factors will spur continued growth in HSA-qualified health plans and HSAs and may encourage additional policy changes making HSAs or similar vehicles available to new populations such as individuals in Medicare. However, the timing and impact of these and other developments in U.S. healthcare are uncertain. Moreover, changes in healthcare policy, such as "Medicare for all" plans, could materially and adversely affect our business in ways that are difficult to predict.</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Trends in U.S. tax law</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Tax law has a profound impact on our business. Our offerings to members, Clients, and Network Partners consist primarily of services enabled, mandated, or advantaged by provisions of U.S. tax law and regulations. Changes in tax policy are speculative and may affect our business in ways that are difficult to predict.</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Our client base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business model is based on a B2B2C distribution strategy, whereby we work with Network Partners and Clients to reach consumers to increase the number of our members with HSA accounts and complementary CDBs. We believe that there are significant opportunities to expand the scope of services that we provide to our current Clients.</w:t>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Broad distribution footprint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believe we have a diverse distribution footprint to attract new Clients and Network Partners. Our sales force calls on enterprise and regional employers in industries across the U.S., as well as potential Network Partners from among health plans, benefits administrators, and retirement plan record keepers. Our integrations with Network Partners provide a key channel through which we gain access to Clients and members. Our Network Partners collectively employ thousands of sales representatives and account managers who promote both the Network Partners' products and our products and services. Our sales representatives and account management teams work with and train the sales representatives and account management teams of our Network Partners.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Product breadth</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a leader in administering HSAs and each of the major categories of complementary CDBs, including FSAs and HRAs, COBRA and commuter benefits. Our Clients and their benefits advisors increasingly seek HSA providers that can deliver a bundled offering of HSAs and complementary CDBs. With our CDB capabilities, we can provide employers with a single partner for both HSAs and complementary CDBs, which is preferred by the vast majority of employers, according to research conducted for us by Aite Group. We believe that the combination of HSA and complementary CDB offerings significantly strengthens our value proposition to employers, health benefits brokers and consultants, and Network Partners as a leading single-source provider.</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Interest rates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a non-bank custodian, our members’ custodial HSA cash assets are held by either our insurance company partners through group annuity contracts or other similar arrangements (our "Enhanced Rates" offering) or by our federally insured Depository Partners (our "Basic Rates" offering), pursuant to contractual arrangements we have with these Depository Partners. As our Basic Rates contracts continue to expire, the HSA cash held in those Basic Rates contracts will transition to Enhanced Rates contracts, subject to our members retaining the right to keep their HSA cash in Basic Rates.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HSA members who allocate HSA cash to our Enhanced Rates offering retain a higher yield compared to our Basic Rates offering. An increase in the percentage of HSA cash held in our Enhanced Rates offering also positively impacts our custodial revenue, as we generally earn a higher yield on HSA cash held by our insurance company partners compared to HSA cash held by our Depository Partners. The yields paid by our insurance company partners are impacted by the prevailing interest rate environment, which in turn is driven by macroeconomic factors and government policies over which we have no control. Such factors, and the responses of our competitors to them, also determine the amount of interest retained by our members.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agreements with our insurance company partners have an indefinite term, with approximately 10% of the assets held in such agreements repricing per year. The lengths of our agreements with Depository Partners typically range from three to five years and may have fixed or variable interest rate terms. As with our insurance company partners, the terms of new and renewing agreements with our Depository Partners are impacted by the then-prevailing interest rate environment, which in turn is driven by macroeconomic factors and government policies over which we have no control. Such factors, and the responses of our competitors to them, also determine the amount of interest retained by our members.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believe that increased participation in our Enhanced Rates offering, diversification of insurance company partners and Depository Partners, varied contract terms, and other factors reduce our exposure to short-term fluctuations in prevailing interest rates and mitigate the short-term impact of sustained increases or declines in prevailing interest rates on our custodial revenue. In addition, as further described in Note 10—Derivative financial instruments and hedging activities, the Company uses Treasury bond forwards to hedge a portion of the benchmark interest rate risk of expected future placements of HSA cash. Over longer periods, sustained shifts in prevailing interest rates affect the amount of custodial revenue we can realize on custodial assets and the interest retained by our members.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on our revolving credit facility changes frequently due to variable interest rate terms, and as a result, our interest expense is expected to fluctuate based on changes in prevailing interest rates.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Our proprietary technology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believe that innovations incorporated in our technology differentiate us from our competitors and help drive our growth by enabling us to better assist consumers to make healthcare saving and spending decisions and maximize the value of their tax-advantaged benefits. Our full suite of CDB offerings complements our HSA solution and enhances our leadership position within the HSA sector. We are currently investing in a modernization of our proprietary technology platforms to support new opportunities and enhance security, privacy and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infrastructure, while maintaining existing applications, features, and services. For example, we are continuing to make investments in the architecture and infrastructure of the technology that we use to provide our services to improve our transaction processing capabilities and support continued account and transaction growth, as well as in data-driven personalized engagement to help our members spend less, save more, and build wealth for retirement.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investing in technology solutions to meet the evolving needs of our members, Clients and Network Partners. We also increasingly use AI tools and technologies to improve customer service, facilitate member personalization, lower costs, and increase efficiencies. Our current innovation efforts include, among others, increasing member and Client self-service capabilities, developing APIs, driving electronic communication rather than paper, increasing straight-through processing, improving overall process times utilizing traditional robotic process automation, providing our members access to healthcare solutions through our marketplace, and AI tools including the Expedited Claims and HSAnswers tools, leveraging chip-enabled stacked cards, and mobile wallet.</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Our Purple culture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 successful healthcare consumer needs education and guidance delivered by people as well as by technology. The education and customer service we provide is driven by our Purple culture, which we believe is a significant factor in our ability to attract and retain customers and to address opportunities in the rapidly changing healthcare sector. We invest in and intend to continue to invest in human capital through technology-enabled training, career development, and advancement opportunities.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Our competition and industry</w:t>
      </w:r>
    </w:p>
    <w:p>
      <w:pPr>
        <w:pStyle w:val="TextBody"/>
        <w:bidi w:val="0"/>
        <w:spacing w:lineRule="auto" w:line="288" w:before="120" w:after="120"/>
        <w:jc w:val="left"/>
        <w:rPr/>
      </w:pPr>
      <w:r>
        <w:rPr>
          <w:rFonts w:ascii="Arial;sans-serif" w:hAnsi="Arial;sans-serif"/>
          <w:b w:val="false"/>
          <w:color w:val="000000"/>
          <w:sz w:val="20"/>
        </w:rPr>
        <w:t xml:space="preserve">Our direct competitors are HSA custodians and other CDB providers. Many of these are state or federally chartered banks and other financial institutions for which we believe benefits administration services are not a core business. Some of our direct competitors (including </w:t>
      </w:r>
      <w:r>
        <w:rPr>
          <w:rFonts w:ascii="Arial;sans-serif" w:hAnsi="Arial;sans-serif"/>
          <w:b w:val="false"/>
          <w:color w:val="212529"/>
          <w:sz w:val="20"/>
        </w:rPr>
        <w:t>well-known retail investment companies, such as Fidelity Investments, and healthcare service companies such as UnitedHealth Group's Optum and Webster Bank</w:t>
      </w:r>
      <w:r>
        <w:rPr>
          <w:rFonts w:ascii="Arial;sans-serif" w:hAnsi="Arial;sans-serif"/>
          <w:b w:val="false"/>
          <w:color w:val="000000"/>
          <w:sz w:val="20"/>
        </w:rPr>
        <w:t>) are in a position to devote more resources to the development, sale, and support of their products and services than we have at our disposal. Our other CDB administration competitors include health insurance carriers, human resources consultants and outsourcers, payroll providers, national CDB specialists, regional third-party administrators, and commercial banks. In addition, numerous indirect competitors, including benefits administration service providers, partner with banks and other HSA custodians to compete with us. Our Network Partners and ecosystem partners may also choose to offer competitive services directly, as some health plans have done. The products, programs, and services made available through our marketplace are part of highly competitive markets and introduce new and sophisticated competitors to us. Our success depends on our ability to predict and react quickly to these and other industry and competitive dynamics.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Regulatory environment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Federal law and regulations, including the Affordable Care Act, the Internal Revenue Code, the Employee Retirement Income Security Act and Department of Labor regulations, and public health regulations that govern the provision of health insurance and provide the tax advantages associated with our services, play a pivotal role in determining our market opportunity. Privacy and data security-related laws such as the Health Insurance Portability and Accountability Act, or HIPAA, and the Gramm-Leach-Bliley Act, laws governing the provision of investment advice to consumers, such as the Investment Advisers Act of 1940, or the Advisers Act, the USA PATRIOT Act, anti-money laundering laws, and the Federal Deposit Insurance Act, all play a similar role in determining our competitive landscape. In addition, state-level regulations also have significant implications for our business in some cases. For example, our subsidiary HealthEquity Trust Company is regulated by the Wyoming Division of Banking, and several states are considering, or have already passed, new privacy regulations that can affect our business. Various states also have laws and regulations that impose additional restrictions on our collection, storage, and use of personally identifiable information. Privacy regulation in particular has become a priority issue in many states, including, for example, the California Privacy Rights Act. Our ability to predict and react quickly to relevant legal and regulatory trends and to correctly interpret their market and competitive implications is important to our success.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Key operating metrics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regularly review a number of key operating and financial metrics to evaluate our business, determine the allocation of our resources, make decisions regarding corporate strategies and evaluate forward-looking projections and trends affecting our business. We discuss certain of these key financial metrics, including revenue, below in the section entitled “Key components of our results of operations.” In addition, we utilize other key metrics as described below.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Total Accounts</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The following table sets forth our HSAs, CDBs, and Total Accounts as of and for the periods indicated:</w:t>
      </w:r>
    </w:p>
    <w:tbl>
      <w:tblPr>
        <w:tblW w:w="8826" w:type="dxa"/>
        <w:jc w:val="left"/>
        <w:tblInd w:w="0" w:type="dxa"/>
        <w:tblLayout w:type="fixed"/>
        <w:tblCellMar>
          <w:top w:w="28" w:type="dxa"/>
          <w:left w:w="28" w:type="dxa"/>
          <w:bottom w:w="28" w:type="dxa"/>
          <w:right w:w="28" w:type="dxa"/>
        </w:tblCellMar>
      </w:tblPr>
      <w:tblGrid>
        <w:gridCol w:w="1179"/>
        <w:gridCol w:w="1036"/>
        <w:gridCol w:w="1039"/>
        <w:gridCol w:w="369"/>
        <w:gridCol w:w="369"/>
        <w:gridCol w:w="372"/>
        <w:gridCol w:w="109"/>
        <w:gridCol w:w="109"/>
        <w:gridCol w:w="109"/>
        <w:gridCol w:w="369"/>
        <w:gridCol w:w="369"/>
        <w:gridCol w:w="372"/>
        <w:gridCol w:w="109"/>
        <w:gridCol w:w="109"/>
        <w:gridCol w:w="109"/>
        <w:gridCol w:w="210"/>
        <w:gridCol w:w="210"/>
        <w:gridCol w:w="496"/>
        <w:gridCol w:w="109"/>
        <w:gridCol w:w="109"/>
        <w:gridCol w:w="109"/>
        <w:gridCol w:w="425"/>
        <w:gridCol w:w="425"/>
        <w:gridCol w:w="605"/>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r>
      <w:tr>
        <w:trPr/>
        <w:tc>
          <w:tcPr>
            <w:tcW w:w="32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HSAs</w:t>
            </w:r>
          </w:p>
        </w:tc>
        <w:tc>
          <w:tcPr>
            <w:tcW w:w="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10,739 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9,989 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10,570 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HSAs from sales - Quarter-to-date</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HSAs from sales - Year-to-date</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HSAs from acquisitions - Year-to-date</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HSAs with investments</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CDBs</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7,016 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7,221 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Accounts</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17,755 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17,791 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Total Accounts - Quarter-to-date</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17,044 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17,462 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Total Accounts - Year-to-date</w:t>
            </w:r>
          </w:p>
        </w:tc>
        <w:tc>
          <w:tcPr>
            <w:tcW w:w="7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17,772 </w:t>
            </w:r>
          </w:p>
        </w:tc>
        <w:tc>
          <w:tcPr>
            <w:tcW w:w="3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17,083 </w:t>
            </w:r>
          </w:p>
        </w:tc>
        <w:tc>
          <w:tcPr>
            <w:tcW w:w="3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17,220 </w:t>
            </w:r>
          </w:p>
        </w:tc>
        <w:tc>
          <w:tcPr>
            <w:tcW w:w="60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270"/>
        <w:jc w:val="left"/>
        <w:rPr/>
      </w:pPr>
      <w:r>
        <w:rPr>
          <w:rFonts w:ascii="sans-serif" w:hAnsi="sans-serif"/>
          <w:b w:val="false"/>
          <w:color w:val="000000"/>
          <w:sz w:val="16"/>
        </w:rPr>
        <w:t>*</w:t>
      </w:r>
      <w:r>
        <w:rPr>
          <w:rFonts w:ascii="Arial;sans-serif" w:hAnsi="Arial;sans-serif"/>
          <w:b w:val="false"/>
          <w:color w:val="000000"/>
          <w:sz w:val="16"/>
        </w:rPr>
        <w:t>Not meaningful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number of our HSAs and CDBs are key metrics because our revenue is driven by the amount we earn from them. The number of our HSAs increased by 0.8 million, or 8%, from July 31, 2025 to July 31, 2026, driven by new HSAs from sales. The number of our CDBs decreased by 137 thousand, or 2%, from July 31, 2025 to July 31, 2026.</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HSA Assets</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The following table sets forth HSA Assets as of and for the periods indicated:</w:t>
      </w:r>
    </w:p>
    <w:tbl>
      <w:tblPr>
        <w:tblW w:w="8750" w:type="dxa"/>
        <w:jc w:val="left"/>
        <w:tblInd w:w="0" w:type="dxa"/>
        <w:tblLayout w:type="fixed"/>
        <w:tblCellMar>
          <w:top w:w="28" w:type="dxa"/>
          <w:left w:w="28" w:type="dxa"/>
          <w:bottom w:w="28" w:type="dxa"/>
          <w:right w:w="28" w:type="dxa"/>
        </w:tblCellMar>
      </w:tblPr>
      <w:tblGrid>
        <w:gridCol w:w="1152"/>
        <w:gridCol w:w="1013"/>
        <w:gridCol w:w="1015"/>
        <w:gridCol w:w="228"/>
        <w:gridCol w:w="754"/>
        <w:gridCol w:w="127"/>
        <w:gridCol w:w="109"/>
        <w:gridCol w:w="109"/>
        <w:gridCol w:w="109"/>
        <w:gridCol w:w="228"/>
        <w:gridCol w:w="754"/>
        <w:gridCol w:w="127"/>
        <w:gridCol w:w="109"/>
        <w:gridCol w:w="109"/>
        <w:gridCol w:w="109"/>
        <w:gridCol w:w="210"/>
        <w:gridCol w:w="210"/>
        <w:gridCol w:w="496"/>
        <w:gridCol w:w="109"/>
        <w:gridCol w:w="109"/>
        <w:gridCol w:w="109"/>
        <w:gridCol w:w="286"/>
        <w:gridCol w:w="944"/>
        <w:gridCol w:w="225"/>
      </w:tblGrid>
      <w:tr>
        <w:trPr/>
        <w:tc>
          <w:tcPr>
            <w:tcW w:w="115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percentages)</w:t>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r>
      <w:tr>
        <w:trPr/>
        <w:tc>
          <w:tcPr>
            <w:tcW w:w="31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 cash</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17,035 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17,982 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 investments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HSA Assets</w:t>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37,921 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33,137 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36,464 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daily HSA cash - Quarter-to-date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daily HSA cash - Year-to-date</w:t>
            </w:r>
          </w:p>
        </w:tc>
        <w:tc>
          <w:tcPr>
            <w:tcW w:w="98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17,547 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17,149 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17,082 </w:t>
            </w:r>
          </w:p>
        </w:tc>
        <w:tc>
          <w:tcPr>
            <w:tcW w:w="2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HSA Assets include our HSA members’ custodial assets, which consist of the following components: (i) HSA cash, which includes member cash held by our insurance company partners and Depository Partners, and (ii) HSA investments, which includes member investments held by our custodial investment partner. Measuring HSA Assets is important because our custodial revenue is directly affected by average daily custodial balances for HSA Assets that are revenue generating.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HSA cash increased by $0.3 billion, or 2%, from July 31, 2025 to July 31, 2026, due to net HSA contributions from new and existing HSA members, partially offset by transfers to HSA investments.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HSA investments increased by $4.5 billion, or 28%, from July 31, 2025 to July 31, 2026, due to the increased market value of invested balances and transfers from HSA cash.</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Total HSA Assets increased by $4.8 billion, or 14%, from July 31, 2025 to July 31, 2026, primarily due to the increased market value of invested balances and net HSA contributions from new and existing HSA members.</w:t>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60"/>
        <w:jc w:val="left"/>
        <w:rPr>
          <w:rFonts w:ascii="Arial;sans-serif" w:hAnsi="Arial;sans-serif"/>
          <w:b/>
          <w:i/>
          <w:color w:val="000000"/>
          <w:sz w:val="20"/>
        </w:rPr>
      </w:pPr>
      <w:r>
        <w:rPr>
          <w:rFonts w:ascii="Arial;sans-serif" w:hAnsi="Arial;sans-serif"/>
          <w:b/>
          <w:i/>
          <w:color w:val="000000"/>
          <w:sz w:val="20"/>
        </w:rPr>
        <w:t>HSA cash maturity schedule</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The following table summarizes the amount of HSA cash held by our insurance company partners and Depository Partners that is expected to reprice by fiscal year and the respective average annualized yield currently earned on that HSA cash as of July 31, 2026:</w:t>
      </w:r>
    </w:p>
    <w:tbl>
      <w:tblPr>
        <w:tblW w:w="9475" w:type="dxa"/>
        <w:jc w:val="left"/>
        <w:tblInd w:w="0" w:type="dxa"/>
        <w:tblLayout w:type="fixed"/>
        <w:tblCellMar>
          <w:top w:w="28" w:type="dxa"/>
          <w:left w:w="28" w:type="dxa"/>
          <w:bottom w:w="28" w:type="dxa"/>
          <w:right w:w="28" w:type="dxa"/>
        </w:tblCellMar>
      </w:tblPr>
      <w:tblGrid>
        <w:gridCol w:w="1662"/>
        <w:gridCol w:w="1461"/>
        <w:gridCol w:w="1466"/>
        <w:gridCol w:w="615"/>
        <w:gridCol w:w="1468"/>
        <w:gridCol w:w="347"/>
        <w:gridCol w:w="109"/>
        <w:gridCol w:w="109"/>
        <w:gridCol w:w="109"/>
        <w:gridCol w:w="446"/>
        <w:gridCol w:w="446"/>
        <w:gridCol w:w="1237"/>
      </w:tblGrid>
      <w:tr>
        <w:trPr/>
        <w:tc>
          <w:tcPr>
            <w:tcW w:w="166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ending January 31, (in billions, except percentages)</w:t>
            </w:r>
          </w:p>
        </w:tc>
        <w:tc>
          <w:tcPr>
            <w:tcW w:w="2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HSA cash expected to reprice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Average annualized yield</w:t>
            </w:r>
          </w:p>
        </w:tc>
      </w:tr>
      <w:tr>
        <w:trPr/>
        <w:tc>
          <w:tcPr>
            <w:tcW w:w="45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2027</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2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2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2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2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(1)</w:t>
            </w:r>
          </w:p>
        </w:tc>
        <w:tc>
          <w:tcPr>
            <w:tcW w:w="61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3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2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120"/>
        <w:ind w:left="0" w:right="0" w:hanging="270"/>
        <w:jc w:val="left"/>
        <w:rPr>
          <w:rFonts w:ascii="Arial;sans-serif" w:hAnsi="Arial;sans-serif"/>
          <w:b w:val="false"/>
          <w:color w:val="000000"/>
          <w:sz w:val="16"/>
        </w:rPr>
      </w:pPr>
      <w:r>
        <w:rPr>
          <w:rFonts w:ascii="Arial;sans-serif" w:hAnsi="Arial;sans-serif"/>
          <w:b w:val="false"/>
          <w:color w:val="000000"/>
          <w:sz w:val="16"/>
        </w:rPr>
        <w:t>(1)Excludes $0.7 billion of HSA cash held in floating-rate contracts as of July 31, 2026.</w:t>
      </w:r>
    </w:p>
    <w:p>
      <w:pPr>
        <w:pStyle w:val="TextBody"/>
        <w:bidi w:val="0"/>
        <w:spacing w:lineRule="auto" w:line="288" w:before="120" w:after="60"/>
        <w:jc w:val="left"/>
        <w:rPr>
          <w:rFonts w:ascii="Arial;sans-serif" w:hAnsi="Arial;sans-serif"/>
          <w:b/>
          <w:i/>
          <w:color w:val="000000"/>
          <w:sz w:val="20"/>
        </w:rPr>
      </w:pPr>
      <w:r>
        <w:rPr>
          <w:rFonts w:ascii="Arial;sans-serif" w:hAnsi="Arial;sans-serif"/>
          <w:b/>
          <w:i/>
          <w:color w:val="000000"/>
          <w:sz w:val="20"/>
        </w:rPr>
        <w:t>Client-held funds</w:t>
      </w:r>
    </w:p>
    <w:tbl>
      <w:tblPr>
        <w:tblW w:w="9229" w:type="dxa"/>
        <w:jc w:val="left"/>
        <w:tblInd w:w="0" w:type="dxa"/>
        <w:tblLayout w:type="fixed"/>
        <w:tblCellMar>
          <w:top w:w="28" w:type="dxa"/>
          <w:left w:w="28" w:type="dxa"/>
          <w:bottom w:w="28" w:type="dxa"/>
          <w:right w:w="28" w:type="dxa"/>
        </w:tblCellMar>
      </w:tblPr>
      <w:tblGrid>
        <w:gridCol w:w="1326"/>
        <w:gridCol w:w="1166"/>
        <w:gridCol w:w="1168"/>
        <w:gridCol w:w="299"/>
        <w:gridCol w:w="644"/>
        <w:gridCol w:w="166"/>
        <w:gridCol w:w="109"/>
        <w:gridCol w:w="109"/>
        <w:gridCol w:w="109"/>
        <w:gridCol w:w="299"/>
        <w:gridCol w:w="644"/>
        <w:gridCol w:w="166"/>
        <w:gridCol w:w="109"/>
        <w:gridCol w:w="109"/>
        <w:gridCol w:w="109"/>
        <w:gridCol w:w="210"/>
        <w:gridCol w:w="210"/>
        <w:gridCol w:w="496"/>
        <w:gridCol w:w="109"/>
        <w:gridCol w:w="109"/>
        <w:gridCol w:w="109"/>
        <w:gridCol w:w="314"/>
        <w:gridCol w:w="893"/>
        <w:gridCol w:w="247"/>
      </w:tblGrid>
      <w:tr>
        <w:trPr/>
        <w:tc>
          <w:tcPr>
            <w:tcW w:w="132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percentages)</w:t>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July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r>
      <w:tr>
        <w:trPr/>
        <w:tc>
          <w:tcPr>
            <w:tcW w:w="36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Client-held funds</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daily Client-held funds - Quarter-to-date</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daily Client-held funds - Year-to-date</w:t>
            </w:r>
          </w:p>
        </w:tc>
        <w:tc>
          <w:tcPr>
            <w:tcW w:w="94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893 </w:t>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864 </w:t>
            </w:r>
          </w:p>
        </w:tc>
        <w:tc>
          <w:tcPr>
            <w:tcW w:w="2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Client-held funds are interest-earning deposits from which we generate custodial revenue. These deposits are amounts remitted by Clients and held by us on their behalf to pre-fund and facilitate administration of CDBs. We deposit the Client-held funds with our Depository Partners in interest-bearing, demand deposit accounts that have a floating interest rate and no set term or duration. Client-held funds fluctuate depending on the timing of funding and spending of CDB balances and the number of CDBs we administer.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4"/>
        </w:rPr>
      </w:pPr>
      <w:r>
        <w:rPr>
          <w:rFonts w:ascii="Arial;sans-serif" w:hAnsi="Arial;sans-serif"/>
          <w:b/>
          <w:color w:val="000000"/>
          <w:sz w:val="24"/>
        </w:rPr>
        <w:t>Key components of our results of operations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generate revenue from three primary sources: service revenue, custodial revenue, and interchange revenue. </w:t>
      </w:r>
    </w:p>
    <w:p>
      <w:pPr>
        <w:pStyle w:val="TextBody"/>
        <w:bidi w:val="0"/>
        <w:spacing w:lineRule="auto" w:line="288" w:before="120" w:after="120"/>
        <w:jc w:val="left"/>
        <w:rPr/>
      </w:pPr>
      <w:r>
        <w:rPr>
          <w:rFonts w:ascii="Arial;sans-serif" w:hAnsi="Arial;sans-serif"/>
          <w:b w:val="false"/>
          <w:i/>
          <w:color w:val="000000"/>
          <w:sz w:val="20"/>
        </w:rPr>
        <w:t>Service revenue.</w:t>
      </w:r>
      <w:r>
        <w:rPr>
          <w:color w:val="000000"/>
        </w:rPr>
        <w:t>    </w:t>
      </w:r>
      <w:r>
        <w:rPr>
          <w:rFonts w:ascii="Arial;sans-serif" w:hAnsi="Arial;sans-serif"/>
          <w:b w:val="false"/>
          <w:color w:val="000000"/>
          <w:sz w:val="20"/>
        </w:rPr>
        <w:t>We earn service revenue primarily from the fees we charge our Clients, Network Partners, and members for the administration services we provide in connection with the HSAs and other CDBs we offer. Service revenue also includes revenues earned from invested HSA Assets and our marketplace. With respect to our Clients and Network Partners, our fees are generally based on a fixed tiered structure for the duration of the relevant service agreement and are paid to us on a monthly basis. In addition, once a member’s HSA cash balance reaches a certain threshold, the member is able to invest their HSA Assets through our investment partner from which we earn recordkeeping, advisory, and other fees, calculated as a percentage of the member's HSA investments. We recognize revenue on a monthly basis as services are rendered to our members and Clients.</w:t>
      </w:r>
    </w:p>
    <w:p>
      <w:pPr>
        <w:pStyle w:val="TextBody"/>
        <w:bidi w:val="0"/>
        <w:spacing w:lineRule="auto" w:line="288" w:before="120" w:after="120"/>
        <w:jc w:val="left"/>
        <w:rPr/>
      </w:pPr>
      <w:r>
        <w:rPr>
          <w:rFonts w:ascii="Arial;sans-serif" w:hAnsi="Arial;sans-serif"/>
          <w:b w:val="false"/>
          <w:i/>
          <w:color w:val="000000"/>
          <w:sz w:val="20"/>
        </w:rPr>
        <w:t>Custodial revenue.</w:t>
      </w:r>
      <w:r>
        <w:rPr>
          <w:color w:val="000000"/>
        </w:rPr>
        <w:t>    </w:t>
      </w:r>
      <w:r>
        <w:rPr>
          <w:rFonts w:ascii="Arial;sans-serif" w:hAnsi="Arial;sans-serif"/>
          <w:b w:val="false"/>
          <w:color w:val="000000"/>
          <w:sz w:val="20"/>
        </w:rPr>
        <w:t>We earn custodial revenue primarily from HSA cash held by our insurance company partners or our Depository Partners and Client-held funds held by our Depository Partners. HSA cash held by our insurance company partners is held in group annuity contracts or similar arrangements. HSA cash is held by our Depository Partners pursuant to contracts that (i) typically have terms ranging from three to five years, (ii) provide for a fixed or variable interest rate payable on the average daily cash balances held by the relevant Depository Partner, and (iii) have minimum and maximum required balances. Client-held funds held by our Depository Partners are held in interest-bearing demand deposit accounts that have a floating interest rate and no set term or duration. We earn custodial revenue on HSA cash and Client-held funds that is based on the interest rates offered to us by these insurance company partners and Depository Partners.</w:t>
      </w:r>
    </w:p>
    <w:p>
      <w:pPr>
        <w:pStyle w:val="TextBody"/>
        <w:bidi w:val="0"/>
        <w:spacing w:lineRule="auto" w:line="288" w:before="120" w:after="120"/>
        <w:jc w:val="left"/>
        <w:rPr/>
      </w:pPr>
      <w:r>
        <w:rPr>
          <w:rFonts w:ascii="Arial;sans-serif" w:hAnsi="Arial;sans-serif"/>
          <w:b w:val="false"/>
          <w:i/>
          <w:color w:val="000000"/>
          <w:sz w:val="20"/>
        </w:rPr>
        <w:t>Interchange revenue.</w:t>
      </w:r>
      <w:r>
        <w:rPr>
          <w:color w:val="000000"/>
        </w:rPr>
        <w:t>    </w:t>
      </w:r>
      <w:r>
        <w:rPr>
          <w:rFonts w:ascii="Arial;sans-serif" w:hAnsi="Arial;sans-serif"/>
          <w:b w:val="false"/>
          <w:color w:val="000000"/>
          <w:sz w:val="20"/>
        </w:rPr>
        <w:t>We earn interchange revenue each time one of our members uses one of our physical payment cards or virtual platforms to make a purchase. This revenue is collected each time a member “swipes” our payment card to pay expenses. We recognize interchange revenue monthly based on reports received from third parties, namely, the card-issuing banks and card processors.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120" w:after="120"/>
        <w:jc w:val="left"/>
        <w:rPr/>
      </w:pPr>
      <w:r>
        <w:rPr>
          <w:rFonts w:ascii="Arial;sans-serif" w:hAnsi="Arial;sans-serif"/>
          <w:b w:val="false"/>
          <w:i/>
          <w:color w:val="000000"/>
          <w:sz w:val="20"/>
        </w:rPr>
        <w:t>Service costs.    </w:t>
      </w:r>
      <w:r>
        <w:rPr>
          <w:rFonts w:ascii="Arial;sans-serif" w:hAnsi="Arial;sans-serif"/>
          <w:b w:val="false"/>
          <w:color w:val="000000"/>
          <w:sz w:val="20"/>
        </w:rPr>
        <w:t xml:space="preserve">Service costs are primarily comprised of costs related to servicing accounts, managing Client and Network Partner relationships, and processing reimbursement claims. Expenditures include personnel-related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depreciation, amortization, stock-based compensation, common expense allocations (such as office rent, supplies, and other overhead expenses), costs to reimburse members from outside fraud activity, new member and participant supplies, and other operating costs related to servicing our members.</w:t>
      </w:r>
    </w:p>
    <w:p>
      <w:pPr>
        <w:pStyle w:val="TextBody"/>
        <w:bidi w:val="0"/>
        <w:spacing w:lineRule="auto" w:line="288" w:before="0" w:after="0"/>
        <w:jc w:val="left"/>
        <w:rPr/>
      </w:pPr>
      <w:r>
        <w:rPr>
          <w:rFonts w:ascii="Arial;sans-serif" w:hAnsi="Arial;sans-serif"/>
          <w:b w:val="false"/>
          <w:i/>
          <w:color w:val="000000"/>
          <w:sz w:val="20"/>
        </w:rPr>
        <w:t>Custodial costs.    </w:t>
      </w:r>
      <w:r>
        <w:rPr>
          <w:rFonts w:ascii="Arial;sans-serif" w:hAnsi="Arial;sans-serif"/>
          <w:b w:val="false"/>
          <w:color w:val="000000"/>
          <w:sz w:val="20"/>
        </w:rPr>
        <w:t>Custodial costs are comprised of interest retained by our HSA members on HSA cash and fees we pay to banking consultants whom we use to help secure agreements with our Depository Partners. Interest retained by HSA members is calculated on a tiered basis. The interest rates retained by HSA members can change based on a formula or upon required notice.</w:t>
      </w:r>
    </w:p>
    <w:p>
      <w:pPr>
        <w:pStyle w:val="TextBody"/>
        <w:bidi w:val="0"/>
        <w:spacing w:lineRule="auto" w:line="288" w:before="120" w:after="120"/>
        <w:jc w:val="left"/>
        <w:rPr/>
      </w:pPr>
      <w:r>
        <w:rPr>
          <w:rFonts w:ascii="Arial;sans-serif" w:hAnsi="Arial;sans-serif"/>
          <w:b w:val="false"/>
          <w:i/>
          <w:color w:val="000000"/>
          <w:sz w:val="20"/>
        </w:rPr>
        <w:t>Interchange costs.    </w:t>
      </w:r>
      <w:r>
        <w:rPr>
          <w:rFonts w:ascii="Arial;sans-serif" w:hAnsi="Arial;sans-serif"/>
          <w:b w:val="false"/>
          <w:color w:val="000000"/>
          <w:sz w:val="20"/>
        </w:rPr>
        <w:t>Interchange costs are comprised of costs we incur in connection with processing payment transactions initiated by our members. Due to the substantiation requirement on FSA- and HRA-linked payment card transactions, payment card costs are higher for FSA and HRA transactions than for HSA transactions. In addition to fixed per card fees, we are assessed additional transaction costs determined by the amount of the transaction.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gross profit is our total revenue minus our total cost of revenue, and our gross margin is our gross profit expressed as a percentage of our total revenue. Our gross margin has been and will continue to be affected by a number of factors, including interest rates, the amount we charge our Clients, Network Partners, and members, the mix of our sources of revenue, how many services we deliver per account, and payment processing costs per account.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120"/>
        <w:jc w:val="left"/>
        <w:rPr/>
      </w:pPr>
      <w:r>
        <w:rPr>
          <w:rFonts w:ascii="Arial;sans-serif" w:hAnsi="Arial;sans-serif"/>
          <w:b w:val="false"/>
          <w:i/>
          <w:color w:val="000000"/>
          <w:sz w:val="20"/>
        </w:rPr>
        <w:t>Sales and marketing.</w:t>
      </w:r>
      <w:r>
        <w:rPr>
          <w:color w:val="000000"/>
        </w:rPr>
        <w:t>    </w:t>
      </w:r>
      <w:r>
        <w:rPr>
          <w:rFonts w:ascii="Arial;sans-serif" w:hAnsi="Arial;sans-serif"/>
          <w:b w:val="false"/>
          <w:color w:val="000000"/>
          <w:sz w:val="20"/>
        </w:rPr>
        <w:t>Sales and marketing expenses consist primarily of personnel and related expenses for our sales and marketing staff, including sales commissions for our direct sales force, external agent/broker commission expenses, marketing expenses, depreciation, amortization, stock-based compensation, and common expense allocations.</w:t>
      </w:r>
    </w:p>
    <w:p>
      <w:pPr>
        <w:pStyle w:val="TextBody"/>
        <w:bidi w:val="0"/>
        <w:spacing w:lineRule="auto" w:line="288" w:before="120" w:after="120"/>
        <w:jc w:val="left"/>
        <w:rPr/>
      </w:pPr>
      <w:r>
        <w:rPr>
          <w:rFonts w:ascii="Arial;sans-serif" w:hAnsi="Arial;sans-serif"/>
          <w:b w:val="false"/>
          <w:i/>
          <w:color w:val="000000"/>
          <w:sz w:val="20"/>
        </w:rPr>
        <w:t>Technology and development.</w:t>
      </w:r>
      <w:r>
        <w:rPr>
          <w:color w:val="000000"/>
        </w:rPr>
        <w:t>    </w:t>
      </w:r>
      <w:r>
        <w:rPr>
          <w:rFonts w:ascii="Arial;sans-serif" w:hAnsi="Arial;sans-serif"/>
          <w:b w:val="false"/>
          <w:color w:val="000000"/>
          <w:sz w:val="20"/>
        </w:rPr>
        <w:t>Technology and development expenses include personnel and related expenses for software development and delivery, licensed software, information technology, data management, product, and security. Technology and development expenses also include software engineering services, the costs of operating our technology infrastructure, depreciation, amortization of capitalized software development costs, stock-based compensation, and common expense allocations.</w:t>
      </w:r>
    </w:p>
    <w:p>
      <w:pPr>
        <w:pStyle w:val="TextBody"/>
        <w:bidi w:val="0"/>
        <w:spacing w:lineRule="auto" w:line="288" w:before="120" w:after="120"/>
        <w:jc w:val="left"/>
        <w:rPr/>
      </w:pPr>
      <w:r>
        <w:rPr>
          <w:rFonts w:ascii="Arial;sans-serif" w:hAnsi="Arial;sans-serif"/>
          <w:b w:val="false"/>
          <w:i/>
          <w:color w:val="000000"/>
          <w:sz w:val="20"/>
        </w:rPr>
        <w:t>General and administrative.</w:t>
      </w:r>
      <w:r>
        <w:rPr>
          <w:color w:val="000000"/>
        </w:rPr>
        <w:t>    </w:t>
      </w:r>
      <w:r>
        <w:rPr>
          <w:rFonts w:ascii="Arial;sans-serif" w:hAnsi="Arial;sans-serif"/>
          <w:b w:val="false"/>
          <w:color w:val="000000"/>
          <w:sz w:val="20"/>
        </w:rPr>
        <w:t>General and administrative expenses include personnel and related expenses of, and professional fees incurred by our executive, finance, legal, internal audit, corporate development, compliance, and people departments. They also include depreciation, amortization, stock-based compensation, and common expense allocations.</w:t>
      </w:r>
    </w:p>
    <w:p>
      <w:pPr>
        <w:pStyle w:val="TextBody"/>
        <w:bidi w:val="0"/>
        <w:spacing w:lineRule="auto" w:line="288" w:before="120" w:after="120"/>
        <w:jc w:val="left"/>
        <w:rPr/>
      </w:pPr>
      <w:r>
        <w:rPr>
          <w:rFonts w:ascii="Arial;sans-serif" w:hAnsi="Arial;sans-serif"/>
          <w:b w:val="false"/>
          <w:i/>
          <w:color w:val="000000"/>
          <w:sz w:val="20"/>
        </w:rPr>
        <w:t>Amortization of acquired intangible assets.</w:t>
      </w:r>
      <w:r>
        <w:rPr>
          <w:color w:val="000000"/>
        </w:rPr>
        <w:t>    </w:t>
      </w:r>
      <w:r>
        <w:rPr>
          <w:rFonts w:ascii="Arial;sans-serif" w:hAnsi="Arial;sans-serif"/>
          <w:b w:val="false"/>
          <w:color w:val="000000"/>
          <w:sz w:val="20"/>
        </w:rPr>
        <w:t>Amortization of acquired intangible assets results primarily from intangible assets acquired in connection with business combinations. The assets include acquired customer relationships, acquired developed technology, and acquired trade names and trademarks, which we amortize over the assets' estimated useful lives, estimated to be 7-15 years, 2-5 years, and 3 years, respectively. We also acquired intangible HSA portfolios from third-party custodians. We amortize these assets over the assets’ estimated useful life of 15 years. We evaluate our acquired intangible assets for impairment annually, or at a triggering event.</w:t>
      </w:r>
    </w:p>
    <w:p>
      <w:pPr>
        <w:pStyle w:val="TextBody"/>
        <w:bidi w:val="0"/>
        <w:spacing w:lineRule="auto" w:line="288" w:before="120" w:after="120"/>
        <w:jc w:val="left"/>
        <w:rPr/>
      </w:pPr>
      <w:r>
        <w:rPr>
          <w:rFonts w:ascii="Arial;sans-serif" w:hAnsi="Arial;sans-serif"/>
          <w:b w:val="false"/>
          <w:i/>
          <w:color w:val="000000"/>
          <w:sz w:val="20"/>
        </w:rPr>
        <w:t>Merger integration.</w:t>
      </w:r>
      <w:r>
        <w:rPr>
          <w:color w:val="000000"/>
        </w:rPr>
        <w:t>    </w:t>
      </w:r>
      <w:r>
        <w:rPr>
          <w:rFonts w:ascii="Arial;sans-serif" w:hAnsi="Arial;sans-serif"/>
          <w:b w:val="false"/>
          <w:color w:val="000000"/>
          <w:sz w:val="20"/>
        </w:rPr>
        <w:t>Merger integration expenses include personnel and related expenses, including severance, professional fees, legal expenses and settlements, and facilities and technology expenses directly related to integration activities to merge operations as a result of acquisitions.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expense consists primarily of accrued interest expense and amortization of deferred financing costs associated with our long-term debt. Interest on our revolving credit facility changes frequently due to variable interest rate terms, and as a result, our interest expense is expected to fluctuate based on changes in prevailing interest rates.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Other income, net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Other income, net, consists of interest income earned on corporate cash and other miscellaneous income and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Income tax provision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subject to federal and state income taxes in the United States based on a January 31 fiscal year end. We use the asset and liability method to account for income taxes, under which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net operating loss carryforwards, and tax credit carryforwards. Deferred tax assets and liabilities are measured using enacted statutory tax rates expected to apply to taxable income in the years in which those temporary differences are expected to be realized or settled. Valuation allowances are established when necessary to reduce net deferred tax assets to the amount expected to be realized. As of July 31, 2026, we had not recorded a valuation allowance on federal deferred tax assets but recorded a valuation allowance on certain state deferred tax assets. We maintain an overall net federal and state deferred tax liability on our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Comparison of the three and six months ended July 31, 2026 and 2025</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following table sets forth our revenue for the periods indicated:</w:t>
      </w:r>
    </w:p>
    <w:tbl>
      <w:tblPr>
        <w:tblW w:w="11328" w:type="dxa"/>
        <w:jc w:val="left"/>
        <w:tblInd w:w="0" w:type="dxa"/>
        <w:tblLayout w:type="fixed"/>
        <w:tblCellMar>
          <w:top w:w="28" w:type="dxa"/>
          <w:left w:w="28" w:type="dxa"/>
          <w:bottom w:w="28" w:type="dxa"/>
          <w:right w:w="28" w:type="dxa"/>
        </w:tblCellMar>
      </w:tblPr>
      <w:tblGrid>
        <w:gridCol w:w="397"/>
        <w:gridCol w:w="349"/>
        <w:gridCol w:w="350"/>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10"/>
        <w:gridCol w:w="210"/>
        <w:gridCol w:w="49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1"/>
        <w:gridCol w:w="201"/>
        <w:gridCol w:w="559"/>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Custodial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350,732 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325,835 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24,897 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705,373 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656,679 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48,694 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5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left"/>
        <w:rPr/>
      </w:pPr>
      <w:r>
        <w:rPr>
          <w:rFonts w:ascii="Arial;sans-serif" w:hAnsi="Arial;sans-serif"/>
          <w:b w:val="false"/>
          <w:i/>
          <w:color w:val="000000"/>
          <w:sz w:val="20"/>
        </w:rPr>
        <w:t xml:space="preserve">Service revenue. </w:t>
      </w:r>
      <w:r>
        <w:rPr>
          <w:rFonts w:ascii="Arial;sans-serif" w:hAnsi="Arial;sans-serif"/>
          <w:b w:val="false"/>
          <w:color w:val="000000"/>
          <w:sz w:val="20"/>
        </w:rPr>
        <w:t>The $6.6 million, or 6%, increase in service revenue from the three months ended July 31, 2025 to the three months ended July 31, 2026 was primarily due to increases in marketplace revenue, Total Accounts, and HSA investments, partially offset by lower average service fees per account.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$9.7 million, or 4%, increase in service revenue from the six months ended July 31, 2025 to the six months ended July 31, 2026 was primarily due to increases in marketplace revenue, Total Accounts, and HSA investments, partially offset by lower average service fees per account.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expect service revenue to continue to increase, primarily due to increases in marketplace revenue, Total Accounts, and HSA investments, partially offset by lower average service fees per account.</w:t>
      </w:r>
    </w:p>
    <w:p>
      <w:pPr>
        <w:pStyle w:val="TextBody"/>
        <w:bidi w:val="0"/>
        <w:spacing w:lineRule="auto" w:line="288" w:before="120" w:after="120"/>
        <w:jc w:val="left"/>
        <w:rPr/>
      </w:pPr>
      <w:r>
        <w:rPr>
          <w:rFonts w:ascii="Arial;sans-serif" w:hAnsi="Arial;sans-serif"/>
          <w:b w:val="false"/>
          <w:i/>
          <w:color w:val="000000"/>
          <w:sz w:val="20"/>
        </w:rPr>
        <w:t>Custodial revenue.</w:t>
      </w:r>
      <w:r>
        <w:rPr>
          <w:color w:val="000000"/>
        </w:rPr>
        <w:t xml:space="preserve"> </w:t>
      </w:r>
      <w:r>
        <w:rPr>
          <w:rFonts w:ascii="Arial;sans-serif" w:hAnsi="Arial;sans-serif"/>
          <w:b w:val="false"/>
          <w:color w:val="000000"/>
          <w:sz w:val="20"/>
        </w:rPr>
        <w:t>The $16.1 million, or 10%, increase in custodial revenue from the three months ended July 31, 2025 to the three months ended July 31, 2026 was primarily due to an increase in average annualized yield on HSA cash from 3.51% for the three months ended July 31, 2025 to 3.83% for the three months ended July 31, 2026 (due to increased participation in our Enhanced Rates offering and HSA cash placed with Depository Partners at higher yields) and the $0.4 billion, or 2%, increase in average daily HSA cash, as described above, partially offset by a decrease in interest rates on the portion of our Client-held funds held by our Depository Partners in interest-bearing demand deposit accounts that have a floating interest rate.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$33.9 million, or 11%, increase in custodial revenue from the six months ended July 31, 2025 to the six months ended July 31, 2026 was primarily due to an increase in average annualized yield on HSA cash from 3.51% for the six months ended July 31, 2025 to 3.83% for the six months ended July 31, 2026 (due to increased participation in our Enhanced Rates offering, HSA cash placed with Depository Partners at higher yields, and a $2.4 million one-time benefit resulting from the early termination of a contract with a Depository Partner) and the $0.4 billion, or 2%, increase in average daily HSA cash, as described above, partially offset by a decrease in interest rates on the portion of our Client-held funds held by our Depository Partners in interest-bearing demand deposit accounts that have a floating interest rate.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an annual basis, relative to the fiscal year ended January 31, 2026, assuming the current interest rate environment continues, we expect our average annualized yield on HSA cash to further increase as existing agreements with our Depository Partners are renewed or replaced with agreements with higher rates, resulting in higher custodial revenue. In addition, we expect an increase in the percentage of HSA cash held in our Enhanced Rates offering to continue to positively impact our average annualized yield and thus our custodial revenue. As our Basic Rates contracts continue to expire, the HSA cash held in those Basic Rates contracts will transition to Enhanced Rates contracts, subject to our members retaining the right to keep their HSA cash in Basic Rates. Refer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to the HSA cash maturity schedule in the section entitled “Key operating metrics.” </w:t>
      </w:r>
    </w:p>
    <w:p>
      <w:pPr>
        <w:pStyle w:val="TextBody"/>
        <w:bidi w:val="0"/>
        <w:spacing w:lineRule="auto" w:line="288" w:before="120" w:after="120"/>
        <w:jc w:val="left"/>
        <w:rPr/>
      </w:pPr>
      <w:r>
        <w:rPr>
          <w:rFonts w:ascii="Arial;sans-serif" w:hAnsi="Arial;sans-serif"/>
          <w:b w:val="false"/>
          <w:i/>
          <w:color w:val="000000"/>
          <w:sz w:val="20"/>
        </w:rPr>
        <w:t>Interchange revenue.</w:t>
      </w:r>
      <w:r>
        <w:rPr>
          <w:color w:val="000000"/>
        </w:rPr>
        <w:t xml:space="preserve"> </w:t>
      </w:r>
      <w:r>
        <w:rPr>
          <w:rFonts w:ascii="Arial;sans-serif" w:hAnsi="Arial;sans-serif"/>
          <w:b w:val="false"/>
          <w:color w:val="000000"/>
          <w:sz w:val="20"/>
        </w:rPr>
        <w:t>The $2.3 million, or 5%, increase in interchange revenue from the three months ended July 31, 2025 to the three months ended July 31, 2026 was primarily due to an increase in Total Accounts and an increase in spend per account using our payment cards, partially offset by a lower average rate earned on payment card transactions.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$5.0 million, or 5%, increase in interchange revenue from the six months ended July 31, 2025 to the six months ended July 31, 2026 was primarily due to an increase in Total Accounts and an increase in spend per account using our payment cards, partially offset by a lower average rate earned on payment card transactions.</w:t>
      </w:r>
    </w:p>
    <w:p>
      <w:pPr>
        <w:pStyle w:val="TextBody"/>
        <w:bidi w:val="0"/>
        <w:spacing w:lineRule="auto" w:line="276" w:before="120" w:after="120"/>
        <w:jc w:val="left"/>
        <w:rPr>
          <w:rFonts w:ascii="Arial;sans-serif" w:hAnsi="Arial;sans-serif"/>
          <w:b w:val="false"/>
          <w:color w:val="000000"/>
          <w:sz w:val="20"/>
        </w:rPr>
      </w:pPr>
      <w:r>
        <w:rPr>
          <w:rFonts w:ascii="Arial;sans-serif" w:hAnsi="Arial;sans-serif"/>
          <w:b w:val="false"/>
          <w:color w:val="000000"/>
          <w:sz w:val="20"/>
        </w:rPr>
        <w:t>On an annual basis, relative to the fiscal year ended January 31, 2026, we expect interchange revenue to continue to increase, primarily due to an increase in Total Accounts, partially offset by a lower average rate earned on payment card transactions.</w:t>
      </w:r>
    </w:p>
    <w:p>
      <w:pPr>
        <w:pStyle w:val="TextBody"/>
        <w:bidi w:val="0"/>
        <w:spacing w:lineRule="auto" w:line="288" w:before="120" w:after="120"/>
        <w:jc w:val="left"/>
        <w:rPr/>
      </w:pPr>
      <w:r>
        <w:rPr>
          <w:rFonts w:ascii="Arial;sans-serif" w:hAnsi="Arial;sans-serif"/>
          <w:b w:val="false"/>
          <w:i/>
          <w:color w:val="000000"/>
          <w:sz w:val="20"/>
        </w:rPr>
        <w:t>Total revenue.</w:t>
      </w:r>
      <w:r>
        <w:rPr>
          <w:color w:val="000000"/>
        </w:rPr>
        <w:t xml:space="preserve"> </w:t>
      </w:r>
      <w:r>
        <w:rPr>
          <w:rFonts w:ascii="Arial;sans-serif" w:hAnsi="Arial;sans-serif"/>
          <w:b w:val="false"/>
          <w:color w:val="000000"/>
          <w:sz w:val="20"/>
        </w:rPr>
        <w:t>Total revenue increased $24.9 million, or 8%, from the three months ended July 31, 2025 to the three months ended July 31, 2026 due to the increases in custodial, service, and interchange revenues, described above.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Total revenue increased $48.7 million, or 7%, from the six months ended July 31, 2025 to the six months ended July 31, 2026 due to the increases in custodial, service, and interchange revenues, described above.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our cost of revenue for the periods indicated:</w:t>
      </w:r>
    </w:p>
    <w:tbl>
      <w:tblPr>
        <w:tblW w:w="11088" w:type="dxa"/>
        <w:jc w:val="left"/>
        <w:tblInd w:w="0" w:type="dxa"/>
        <w:tblLayout w:type="fixed"/>
        <w:tblCellMar>
          <w:top w:w="28" w:type="dxa"/>
          <w:left w:w="28" w:type="dxa"/>
          <w:bottom w:w="28" w:type="dxa"/>
          <w:right w:w="28" w:type="dxa"/>
        </w:tblCellMar>
      </w:tblPr>
      <w:tblGrid>
        <w:gridCol w:w="397"/>
        <w:gridCol w:w="349"/>
        <w:gridCol w:w="350"/>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210"/>
        <w:gridCol w:w="210"/>
        <w:gridCol w:w="496"/>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01"/>
        <w:gridCol w:w="201"/>
        <w:gridCol w:w="559"/>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Custodial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 of revenue</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92,778 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93,240 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4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191,107 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199,773 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(8,666)</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5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left"/>
        <w:rPr/>
      </w:pPr>
      <w:r>
        <w:rPr>
          <w:rFonts w:ascii="Arial;sans-serif" w:hAnsi="Arial;sans-serif"/>
          <w:b w:val="false"/>
          <w:i/>
          <w:color w:val="000000"/>
          <w:sz w:val="20"/>
        </w:rPr>
        <w:t>Service costs.</w:t>
      </w:r>
      <w:r>
        <w:rPr>
          <w:color w:val="000000"/>
        </w:rPr>
        <w:t xml:space="preserve"> </w:t>
      </w:r>
      <w:r>
        <w:rPr>
          <w:rFonts w:ascii="Arial;sans-serif" w:hAnsi="Arial;sans-serif"/>
          <w:b w:val="false"/>
          <w:color w:val="000000"/>
          <w:sz w:val="20"/>
        </w:rPr>
        <w:t>The $2.0 million, or 3%, decrease in service costs from the three months ended July 31, 2025 to the three months ended July 31, 2026 was primarily due to efficiencies resulting from our technology investments and a decrease in self-insured medical claims expenses. These decreases were partially offset by increases in costs to support the increase in Total Accounts.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$11.7 million, or 7%, decrease in service costs from the six months ended July 31, 2025 to the six months ended July 31, 2026 was primarily due to efficiencies resulting from our technology investments and decreases in costs incurred to reimburse members impacted by outside fraud activity, self-insured medical claims expenses, and non-recurring consulting expenses. These decreases were partially offset by increases in costs to support the increase in Total Accounts.</w:t>
      </w:r>
    </w:p>
    <w:p>
      <w:pPr>
        <w:pStyle w:val="TextBody"/>
        <w:bidi w:val="0"/>
        <w:spacing w:lineRule="auto" w:line="276" w:before="120" w:after="120"/>
        <w:jc w:val="left"/>
        <w:rPr>
          <w:rFonts w:ascii="Arial;sans-serif" w:hAnsi="Arial;sans-serif"/>
          <w:b w:val="false"/>
          <w:color w:val="000000"/>
          <w:sz w:val="20"/>
        </w:rPr>
      </w:pPr>
      <w:r>
        <w:rPr>
          <w:rFonts w:ascii="Arial;sans-serif" w:hAnsi="Arial;sans-serif"/>
          <w:b w:val="false"/>
          <w:color w:val="000000"/>
          <w:sz w:val="20"/>
        </w:rPr>
        <w:t>On an annual basis, relative to the fiscal year ended January 31, 2026, we expect service costs to decrease as further operational efficiencies are expected to largely offset higher costs resulting from an increase in Total Accounts.</w:t>
      </w:r>
    </w:p>
    <w:p>
      <w:pPr>
        <w:pStyle w:val="TextBody"/>
        <w:bidi w:val="0"/>
        <w:spacing w:lineRule="auto" w:line="288" w:before="120" w:after="120"/>
        <w:jc w:val="left"/>
        <w:rPr/>
      </w:pPr>
      <w:r>
        <w:rPr>
          <w:rFonts w:ascii="Arial;sans-serif" w:hAnsi="Arial;sans-serif"/>
          <w:b w:val="false"/>
          <w:i/>
          <w:color w:val="000000"/>
          <w:sz w:val="20"/>
        </w:rPr>
        <w:t>Custodial costs.</w:t>
      </w:r>
      <w:r>
        <w:rPr>
          <w:color w:val="000000"/>
        </w:rPr>
        <w:t xml:space="preserve"> </w:t>
      </w:r>
      <w:r>
        <w:rPr>
          <w:rFonts w:ascii="Arial;sans-serif" w:hAnsi="Arial;sans-serif"/>
          <w:b w:val="false"/>
          <w:color w:val="000000"/>
          <w:sz w:val="20"/>
        </w:rPr>
        <w:t>The $0.9 million, or 8%, increase in custodial costs from the three months ended July 31, 2025 to the three months ended July 31, 2026 was primarily due to the $0.4 billion, or 2%, increase in average daily HSA cash, as described above, and an increase in the average annualized rate of interest retained by HSA members on HSA cash from 0.24% during the three months ended July 31, 2025 to 0.26% during the three months ended July 31, 2026.</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$1.9 million, or 8%, increase in custodial costs from the six months ended July 31, 2025 to the six months ended July 31, 2026 was primarily due to the $0.4 billion, or 2%, increase in average daily HSA cash, as described above, and an increase in the average annualized rate of interest retained by HSA members on HSA cash from 0.24% during the six months ended July 31, 2025 to 0.25% during the six months ended July 31, 2026.</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an annual basis, relative to the fiscal year ended January 31, 2026, we expect custodial costs to increase due to an increase in average daily HSA cash and an increase in the average annualized rate of interest retained by HSA members on HSA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120"/>
        <w:jc w:val="left"/>
        <w:rPr/>
      </w:pPr>
      <w:r>
        <w:rPr>
          <w:rFonts w:ascii="Arial;sans-serif" w:hAnsi="Arial;sans-serif"/>
          <w:b w:val="false"/>
          <w:i/>
          <w:color w:val="000000"/>
          <w:sz w:val="20"/>
        </w:rPr>
        <w:t>Interchange costs.</w:t>
      </w:r>
      <w:r>
        <w:rPr>
          <w:color w:val="000000"/>
        </w:rPr>
        <w:t xml:space="preserve"> </w:t>
      </w:r>
      <w:r>
        <w:rPr>
          <w:rFonts w:ascii="Arial;sans-serif" w:hAnsi="Arial;sans-serif"/>
          <w:b w:val="false"/>
          <w:color w:val="000000"/>
          <w:sz w:val="20"/>
        </w:rPr>
        <w:t>The $0.6 million, or 8%, increase in interchange costs from the three months ended July 31, 2025 to the three months ended July 31, 2026 was primarily due to an increase in Total Accounts, an increase in spend per account using our payment cards, and an increase in costs related to the prevention of outside fraud activity.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$1.1 million, or 8%, increase in interchange costs from the six months ended July 31, 2025 to the six months ended July 31, 2026 was primarily due to an increase in Total Accounts, an increase in spend per account using our payment cards, and an increase in costs related to the prevention of outside fraud activity.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expect interchange costs to continue to increase, primarily due to an increase in Total Accounts and an increase in costs related to the prevention of outside fraud activity.</w:t>
      </w:r>
    </w:p>
    <w:p>
      <w:pPr>
        <w:pStyle w:val="TextBody"/>
        <w:bidi w:val="0"/>
        <w:spacing w:lineRule="auto" w:line="288" w:before="120" w:after="120"/>
        <w:jc w:val="left"/>
        <w:rPr/>
      </w:pPr>
      <w:r>
        <w:rPr>
          <w:rFonts w:ascii="Arial;sans-serif" w:hAnsi="Arial;sans-serif"/>
          <w:b w:val="false"/>
          <w:i/>
          <w:color w:val="000000"/>
          <w:sz w:val="20"/>
        </w:rPr>
        <w:t>Total cost of revenue.</w:t>
      </w:r>
      <w:r>
        <w:rPr>
          <w:color w:val="000000"/>
        </w:rPr>
        <w:t xml:space="preserve"> </w:t>
      </w:r>
      <w:r>
        <w:rPr>
          <w:rFonts w:ascii="Arial;sans-serif" w:hAnsi="Arial;sans-serif"/>
          <w:b w:val="false"/>
          <w:color w:val="000000"/>
          <w:sz w:val="20"/>
        </w:rPr>
        <w:t xml:space="preserve">Cost of revenue as a percentage of total revenue decreased to 27.1% for the six months ended July 31, 2026 compared to 30.4% for the six months ended July 31, 2025, due to the 7% increase in total revenue and the 4% decrease in total cost of revenue. On an annual basis, relative to the fiscal year ended January 31, 2026, we expect our cost of revenue to decrease as a percentage of our total revenue, primarily due to an increase in custodial revenue and a decrease in service costs, partially offset by costs resulting from an increase in Total Accounts. Cost of revenue will continue to be affected by a number of different factors, including our ability to efficiently scale our service delivery, Network Partner implementation, and account management functions. </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sets forth our operating expenses for the periods indicated:</w:t>
      </w:r>
    </w:p>
    <w:tbl>
      <w:tblPr>
        <w:tblW w:w="11358" w:type="dxa"/>
        <w:jc w:val="left"/>
        <w:tblInd w:w="0" w:type="dxa"/>
        <w:tblLayout w:type="fixed"/>
        <w:tblCellMar>
          <w:top w:w="28" w:type="dxa"/>
          <w:left w:w="28" w:type="dxa"/>
          <w:bottom w:w="28" w:type="dxa"/>
          <w:right w:w="28" w:type="dxa"/>
        </w:tblCellMar>
      </w:tblPr>
      <w:tblGrid>
        <w:gridCol w:w="427"/>
        <w:gridCol w:w="349"/>
        <w:gridCol w:w="350"/>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10"/>
        <w:gridCol w:w="210"/>
        <w:gridCol w:w="49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1"/>
        <w:gridCol w:w="201"/>
        <w:gridCol w:w="559"/>
      </w:tblGrid>
      <w:tr>
        <w:trPr/>
        <w:tc>
          <w:tcPr>
            <w:tcW w:w="42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r>
      <w:tr>
        <w:trPr/>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integration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159,264 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142,983 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4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312,623 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284,216 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28,407 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5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left"/>
        <w:rPr/>
      </w:pPr>
      <w:r>
        <w:rPr>
          <w:rFonts w:ascii="Arial;sans-serif" w:hAnsi="Arial;sans-serif"/>
          <w:b w:val="false"/>
          <w:i/>
          <w:color w:val="000000"/>
          <w:sz w:val="20"/>
        </w:rPr>
        <w:t xml:space="preserve">Sales and marketing. </w:t>
      </w:r>
      <w:r>
        <w:rPr>
          <w:rFonts w:ascii="Arial;sans-serif" w:hAnsi="Arial;sans-serif"/>
          <w:b w:val="false"/>
          <w:color w:val="000000"/>
          <w:sz w:val="20"/>
        </w:rPr>
        <w:t>The $3.3 million, or 17%, increase in sales and marketing expenses from the three months ended July 31, 2025 to the three months ended July 31, 2026 was primarily due to increases in advertising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$4.1 million, or 9%, increase in sales and marketing expenses from the six months ended July 31, 2025 to the six months ended July 31, 2026 was primarily due to increases in advertising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expect our sales and marketing expenses to increase as we continue to focus on brand awareness and Client and member engagement programs, including campaigns to reach individuals who are newly eligible for HSAs under recent legislative expansion. On an annual basis, relative to the fiscal year ended January 31, 2026, we expect our sales and marketing expenses to remain relatively steady as a percentage of our total revenue. However, our sales and marketing expenses may fluctuate as a percentage of our total revenue from period to period due to the seasonality of our total revenue and the timing and extent of our sales and marketing expenses.</w:t>
      </w:r>
    </w:p>
    <w:p>
      <w:pPr>
        <w:pStyle w:val="TextBody"/>
        <w:bidi w:val="0"/>
        <w:spacing w:lineRule="auto" w:line="288" w:before="120" w:after="120"/>
        <w:jc w:val="left"/>
        <w:rPr/>
      </w:pPr>
      <w:r>
        <w:rPr>
          <w:rFonts w:ascii="Arial;sans-serif" w:hAnsi="Arial;sans-serif"/>
          <w:b w:val="false"/>
          <w:i/>
          <w:color w:val="000000"/>
          <w:sz w:val="20"/>
        </w:rPr>
        <w:t xml:space="preserve">Technology and development. </w:t>
      </w:r>
      <w:r>
        <w:rPr>
          <w:rFonts w:ascii="Arial;sans-serif" w:hAnsi="Arial;sans-serif"/>
          <w:b w:val="false"/>
          <w:color w:val="000000"/>
          <w:sz w:val="20"/>
        </w:rPr>
        <w:t>The $9.1 million, or 14%, increase in technology and development expenses from the three months ended July 31, 2025 to the three months ended July 31, 2026 was primarily due to an increase in software and cloud infrastructure costs.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$15.5 million, or 12%, increase in technology and development expenses from the six months ended July 31, 2025 to the six months ended July 31, 2026 was primarily due to an increase in software and cloud infrastructure costs.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expect our technology and development expenses to increase as we continue to invest in the development and security of our proprietary technology, including our ongoing modernization project described earlier. On an annual basis, relative to the fiscal year ended January 31, 2026, we expect our technology and development expenses to remain relatively steady as a percentage of our total revenue. However, our technology and development expenses may fluctuate as a percentage of our total revenue from period to period due to the seasonality of our total revenue and the timing and extent of our technology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120"/>
        <w:jc w:val="left"/>
        <w:rPr/>
      </w:pPr>
      <w:r>
        <w:rPr>
          <w:rFonts w:ascii="Arial;sans-serif" w:hAnsi="Arial;sans-serif"/>
          <w:b w:val="false"/>
          <w:i/>
          <w:color w:val="000000"/>
          <w:sz w:val="20"/>
        </w:rPr>
        <w:t xml:space="preserve">General and administrative. </w:t>
      </w:r>
      <w:r>
        <w:rPr>
          <w:rFonts w:ascii="Arial;sans-serif" w:hAnsi="Arial;sans-serif"/>
          <w:b w:val="false"/>
          <w:color w:val="000000"/>
          <w:sz w:val="20"/>
        </w:rPr>
        <w:t>The $4.9 million, or 16%, increase in general and administrative expenses from the three months ended July 31, 2025 to the three months ended July 31, 2026 was primarily due to an increase in personnel-related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$10.5 million, or 19%, increase in general and administrative expenses from the six months ended July 31, 2025 to the six months ended July 31, 2026 was primarily due to an increase in stock-based compensation expense resulting from non-recurring award forfeitures during fiscal 2026 related to the retirement of our former chief executive officer.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an annual basis, relative to the fiscal year ended January 31, 2026, we expect our general and administrative expenses to increase, primarily due to the normalization of our stock-based compensation expense and additional demands on our legal, compliance, and finance functions as we continue to grow our business. We expect our general and administrative expenses to increase as a percentage of our total revenue. However, our general and administrative expenses may fluctuate as a percentage of our total revenue from period to period due to the seasonality of our total revenue and the timing and extent of our general and administrative expenses.</w:t>
      </w:r>
    </w:p>
    <w:p>
      <w:pPr>
        <w:pStyle w:val="TextBody"/>
        <w:bidi w:val="0"/>
        <w:spacing w:lineRule="auto" w:line="288" w:before="120" w:after="120"/>
        <w:jc w:val="left"/>
        <w:rPr/>
      </w:pPr>
      <w:r>
        <w:rPr>
          <w:rFonts w:ascii="Arial;sans-serif" w:hAnsi="Arial;sans-serif"/>
          <w:b w:val="false"/>
          <w:i/>
          <w:color w:val="000000"/>
          <w:sz w:val="20"/>
        </w:rPr>
        <w:t xml:space="preserve">Amortization of acquired intangible assets. </w:t>
      </w:r>
      <w:r>
        <w:rPr>
          <w:rFonts w:ascii="Arial;sans-serif" w:hAnsi="Arial;sans-serif"/>
          <w:b w:val="false"/>
          <w:color w:val="000000"/>
          <w:sz w:val="20"/>
        </w:rPr>
        <w:t>The $0.7 million, or 3%, decrease in amortization of acquired intangible assets from the three months ended July 31, 2025 to the three months ended July 31, 2026 was primarily due to a smaller carrying amount of intangible assets that have not been fully amortized.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$1.2 million, or 2%, decrease in amortization of acquired intangible assets from the six months ended July 31, 2025 to the six months ended July 31, 2026 was primarily due to a smaller carrying amount of intangible assets that have not been fully amortized.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an annual basis, relative to the fiscal year ended January 31, 2026, we expect amortization of acquired intangible assets to decrease, primarily due to a smaller carrying amount of intangible assets that have not been fully amortized.</w:t>
      </w:r>
    </w:p>
    <w:p>
      <w:pPr>
        <w:pStyle w:val="TextBody"/>
        <w:bidi w:val="0"/>
        <w:spacing w:lineRule="auto" w:line="288" w:before="120" w:after="120"/>
        <w:jc w:val="left"/>
        <w:rPr/>
      </w:pPr>
      <w:r>
        <w:rPr>
          <w:rFonts w:ascii="Arial;sans-serif" w:hAnsi="Arial;sans-serif"/>
          <w:b w:val="false"/>
          <w:i/>
          <w:color w:val="000000"/>
          <w:sz w:val="20"/>
        </w:rPr>
        <w:t xml:space="preserve">Merger integration. </w:t>
      </w:r>
      <w:r>
        <w:rPr>
          <w:rFonts w:ascii="Arial;sans-serif" w:hAnsi="Arial;sans-serif"/>
          <w:b w:val="false"/>
          <w:color w:val="000000"/>
          <w:sz w:val="20"/>
        </w:rPr>
        <w:t>Merger integration expenses decreased by $0.3 million, or 23%, from the three months ended July 31, 2025 to the three months ended July 31, 2026. Merger integration expenses during the three months ended July 31, 2026 consisted primarily of expenses incurred in conjunction with the migration of accounts and technology-related expenses directly related to the Further acquisition.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Merger integration expenses decreased by $0.5 million, or 18%, from the six months ended July 31, 2025 to the six months ended July 31, 2026. Merger integration expenses during the six months ended July 31, 2026 consisted primarily of expenses incurred in conjunction with the migration of accounts and technology-related expenses directly related to the Further acquisition.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an annual basis, relative to the fiscal year ended January 31, 2026, we expect merger integration expense to remain relatively steady as we complete the remaining merger integration activities.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$2.4 million, or 16%, decrease in interest expense from the three months ended July 31, 2025 to the three months ended July 31, 2026 was primarily due to a lower average principal balance and a lower average interest rate on borrowings with variable interest rate terms.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$4.6 million, or 15%, decrease in interest expense from the six months ended July 31, 2025 to the six months ended July 31, 2026 was primarily due to a lower average principal balance and a lower average interest rate on borrowings with variable interest rate terms.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interest rate on our revolving credit facility is variable and, accordingly, we may incur additional expense if interest rates increase in future periods.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Other income, net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$1.6 million decrease in other income, net, from the three months ended July 31, 2025 to the three months ended July 31, 2026 was primarily due to a decrease in interest income on corporate cash.</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$2.3 million decrease in other income, net, from the six months ended July 31, 2025 to the six months ended July 31, 2026 was primarily due to a decrease in interest income on corporate cash.</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Income tax provision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$4.0 million increase in income tax provision from the three months ended July 31, 2025 to the three months ended July 31, 2026 was primarily the result of an increase in pre-tax book income and a reduction in tax benefit from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$10.0 million increase in income tax provision from the six months ended July 31, 2025 to the six months ended July 31, 2026 was primarily the result of an increase in pre-tax book income and a reduction in tax benefit from stock-based compensation expense.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Net income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$5.8 million, or 10%, increase in net income from the three months ended July 31, 2025 to the three months ended July 31, 2026 was primarily due to an increase in gross profit, partially offset by increases in operating expenses and income tax provision, as more fully described above.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$21.3 million, or 19%, increase in net income from the six months ended July 31, 2025 to the six months ended July 31, 2026 was primarily due to an increase in gross profit, partially offset by increases in operating expenses and income tax provision, as more fully described above.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Seasonality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Seasonal concentration of our growth combined with our recurring revenue model create seasonal variation in our results of operations. Revenue results are seasonally impacted due to ancillary service fees, timing of HSA contributions, and timing of card spend. Cost of revenue is seasonally impacted as a significant number of new and existing Network Partners bring us new HSAs and CDBs beginning in January of each year concurrent with the start of many employers’ benefit plan years. Before we realize any revenue from these new accounts, we incur costs related to implementing and supporting our new Network Partners and new accounts. These costs of services relate to activating accounts and hiring additional staff, including seasonal help to support our member support center. These expenses begin to ramp up during our third fiscal quarter, with the majority of seasonal expenses incurred in our fourth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Non-GAAP financial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Non-GAAP financial measures should be considered in addition to results prepared in accordance with GAAP and should not be considered as a substitute for, or superior to, GAAP results. We believe that these non-GAAP financial measures provide useful information to management and investors regarding certain financial and business trends relating to the Company's financial condition and results of operations. We caution investors that non-GAAP financial information, by its nature, departs from GAAP; accordingly, its use can make it difficult to compare current results with results from other reporting periods and with the results of other companies. In addition, while amortization of acquired intangible assets is being excluded from non-GAAP financial measures, the revenue generated from those acquired intangible assets is not excluded. Whenever we use these non-GAAP financial measures, we provide a reconciliation of the applicable non-GAAP financial measure to the most closely applicable GAAP financial measure. Investors are encouraged to review the related GAAP financial measures and the reconciliation of the non-GAAP financial measures to their most directly comparable GAAP financial measure as detailed in the tables below.</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Adjusted EBITDA</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define Adjusted EBITDA, which is a non-GAAP financial metric, as earnings before interest, taxes, depreciation and amortization, amortization of acquired intangible assets, stock-based compensation expense, merger integration expenses, acquisition costs, gains and losses on equity securities, amortization of incremental costs to obtain a contract, costs associated with unused office space, and certain other non-operating items. We believe that Adjusted EBITDA provides useful information to investors and analysts in understanding and evaluating our operating results in the same manner as our management and our board of directors because it reflects operating profitability before consideration of non-operating expenses and non-cash expenses and serves as a basis for comparison against other companies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income, the most comparable GAAP financial measure, to Adjusted EBITDA for the periods indicated:</w:t>
      </w:r>
    </w:p>
    <w:tbl>
      <w:tblPr>
        <w:tblW w:w="9164" w:type="dxa"/>
        <w:jc w:val="left"/>
        <w:tblInd w:w="0" w:type="dxa"/>
        <w:tblLayout w:type="fixed"/>
        <w:tblCellMar>
          <w:top w:w="28" w:type="dxa"/>
          <w:left w:w="28" w:type="dxa"/>
          <w:bottom w:w="28" w:type="dxa"/>
          <w:right w:w="28" w:type="dxa"/>
        </w:tblCellMar>
      </w:tblPr>
      <w:tblGrid>
        <w:gridCol w:w="1438"/>
        <w:gridCol w:w="1267"/>
        <w:gridCol w:w="126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43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9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integration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incremental costs to obtain a contract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associated with unused office space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166,981 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151,074 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331,469 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291,282 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The following table sets forth our net income and Adjusted EBITDA as a percentage of revenue:</w:t>
      </w:r>
    </w:p>
    <w:tbl>
      <w:tblPr>
        <w:tblW w:w="11916" w:type="dxa"/>
        <w:jc w:val="left"/>
        <w:tblInd w:w="0" w:type="dxa"/>
        <w:tblLayout w:type="fixed"/>
        <w:tblCellMar>
          <w:top w:w="28" w:type="dxa"/>
          <w:left w:w="28" w:type="dxa"/>
          <w:bottom w:w="28" w:type="dxa"/>
          <w:right w:w="28" w:type="dxa"/>
        </w:tblCellMar>
      </w:tblPr>
      <w:tblGrid>
        <w:gridCol w:w="397"/>
        <w:gridCol w:w="349"/>
        <w:gridCol w:w="350"/>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210"/>
        <w:gridCol w:w="210"/>
        <w:gridCol w:w="496"/>
        <w:gridCol w:w="109"/>
        <w:gridCol w:w="109"/>
        <w:gridCol w:w="109"/>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201"/>
        <w:gridCol w:w="201"/>
        <w:gridCol w:w="559"/>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5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331,469 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291,282 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 a percentage of revenue</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Adjusted EBITDA increased by $15.9 million, or 11%, from the three months ended July 31, 2025 to the three months ended July 31, 2026, primarily due to an increase in total revenue and lower service costs due to efficiencies resulting from our technology investments, partially offset by increases in software and cloud infrastructure costs.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Adjusted EBITDA increased by $40.2 million, or 14%, from the six months ended July 31, 2025 to the six months ended July 31, 2026, primarily due to an increase in total revenue and lower service costs due to efficiencies resulting from our technology investments, partially offset by increases in software and cloud infrastructure costs.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Non-GAAP net income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Non-GAAP net income is calculated by adding back to GAAP net income before income taxes the following items: amortization of acquired intangible assets, stock-based compensation expense, merger integration expenses, acquisition costs, gains and losses on equity securities, costs associated with unused office space, and losses on extinguishment of debt, and subtracting a non-GAAP tax provision using a normalized non-GAAP tax rate. We believe that non-GAAP net income and non-GAAP net income per diluted share provide useful information to investors and analysts in understanding and evaluating our operating results in the same manner as our management and our board of directors because these non-GAAP metrics reflect operating profitability before consideration of certain non-operating expenses and non-cash expenses and serve as a basis for comparison against other companies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income, the most comparable GAAP financial measure, to non-GAAP net income for the periods indicated:</w:t>
      </w:r>
    </w:p>
    <w:tbl>
      <w:tblPr>
        <w:tblW w:w="9467" w:type="dxa"/>
        <w:jc w:val="left"/>
        <w:tblInd w:w="0" w:type="dxa"/>
        <w:tblLayout w:type="fixed"/>
        <w:tblCellMar>
          <w:top w:w="28" w:type="dxa"/>
          <w:left w:w="28" w:type="dxa"/>
          <w:bottom w:w="28" w:type="dxa"/>
          <w:right w:w="28" w:type="dxa"/>
        </w:tblCellMar>
      </w:tblPr>
      <w:tblGrid>
        <w:gridCol w:w="1555"/>
        <w:gridCol w:w="1365"/>
        <w:gridCol w:w="1369"/>
        <w:gridCol w:w="211"/>
        <w:gridCol w:w="695"/>
        <w:gridCol w:w="117"/>
        <w:gridCol w:w="117"/>
        <w:gridCol w:w="117"/>
        <w:gridCol w:w="117"/>
        <w:gridCol w:w="211"/>
        <w:gridCol w:w="695"/>
        <w:gridCol w:w="117"/>
        <w:gridCol w:w="109"/>
        <w:gridCol w:w="109"/>
        <w:gridCol w:w="109"/>
        <w:gridCol w:w="196"/>
        <w:gridCol w:w="736"/>
        <w:gridCol w:w="109"/>
        <w:gridCol w:w="109"/>
        <w:gridCol w:w="109"/>
        <w:gridCol w:w="109"/>
        <w:gridCol w:w="196"/>
        <w:gridCol w:w="736"/>
        <w:gridCol w:w="154"/>
      </w:tblGrid>
      <w:tr>
        <w:trPr/>
        <w:tc>
          <w:tcPr>
            <w:tcW w:w="15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Three months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 share data)</w:t>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42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65,644 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 - GAAP</w:t>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87,865 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78,048 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149,001 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adjustments: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integration expenses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associated with unused office space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adjustments to income before income taxes - GAAP</w:t>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50,483 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48,058 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 - Non-GAAP</w:t>
            </w:r>
          </w:p>
        </w:tc>
        <w:tc>
          <w:tcPr>
            <w:tcW w:w="9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138,348 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126,106 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240,524 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 - Non-GAAP (1)</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net income</w:t>
            </w:r>
          </w:p>
        </w:tc>
        <w:tc>
          <w:tcPr>
            <w:tcW w:w="9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103,762 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94,580 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208,861 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180,394 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shares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net income per diluted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net income per diluted share</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(1)The Company utilizes a normalized non-GAAP tax rate to provide better consistency across the interim reporting periods within a given fiscal year by eliminating the effects of non-recurring and period-specific items, which can vary in size and frequency, and which are not necessarily reflective of the Company’s longer-term operations. The normalized non-GAAP tax rate applied to each period presented was 25%. The Company may adjust its non-GAAP tax rate as additional information becomes available and in conjunction with any other significant events occurring that may materially affect this rate, such as merger and acquisition activity, changes in business outlook, or other changes in expectations regarding tax regulations.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non-GAAP net income increased by $9.2 million, or 10%, from the three months ended July 31, 2025 to the three months ended July 31, 2026, primarily due to an increase in total revenue and lower service costs due to efficiencies resulting from our technology investments, partially offset by increases in software and cloud infrastructure costs.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non-GAAP net income increased by $28.5 million, or 16%, from the six months ended July 31, 2025 to the six months ended July 31, 2026, primarily due to an increase in total revenue and lower service costs due to efficiencies resulting from our technology investments, partially offset by increases in software and cloud infrastructure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Liquidity and capital resources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and cash equivalents 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principal sources of liquidity are our current cash and cash equivalents balances, collections from our custodial, service, and interchange revenue activities, and availability under our revolving credit facility. We rely on cash provided by operating activities to meet our short-term liquidity requirements, which primarily relate to the payment of corporate payroll and other operating costs, interest payments on our long-term debt, settlement of derivative financial instruments, and capital expenditures.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July 31, 2026 and January 31, 2026, cash and cash equivalents were $256.0 million and $318.9 million, respectively.</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Capital resources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maintain a “shelf” registration statement on Form S-3 on file with the SEC. A shelf registration statement, which includes a base prospectus, allows us at any time to offer any combination of securities described in the prospectus in one or more offerings. Unless otherwise specified in a prospectus supplement accompanying the base prospectus, we would use the net proceeds from the sale of any securities offered pursuant to the shelf registration statement for general corporate purposes, including, but not limited to, working capital, sales and marketing activities, general and administrative matters, capital expenditures, and repayment of indebtedness, and if opportunities arise, for the acquisition of, or investment in, assets, technologies, solutions or businesses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complement our business. Pending such uses, we may invest the net proceeds in interest-bearing securities. In addition, we may conduct concurrent or other financings at any time.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credit agreement includes a senior secured revolving credit facility in an aggregate principal amount of up to $1.0 billion, which matures on August 23, 2029 and may be used in the future for working capital and general corporate purposes, including the financing of acquisitions and other investments. For a description of the terms of the credit agreement, refer to Note 6—Indebtedness. As of July 31, 2026, the outstanding balance under the revolving credit facility was $335.0 million. We were in compliance with all covenants under the credit agreement as of July 31, 2026, and for the period then ended. We continue to be in compliance with all covenants under the credit agreement through the filing date of this Quarterly Report on Form 10-Q.</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Use of cash</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six months ended July 31, 2026, we used $231.1 million of cash for common stock repurchases. See Note 9—Stockholders' equity for additional information related to our stock repurchase program.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six months ended July 31, 2026, we prepaid $26.9 million under our credit agreement.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Capital expenditures for the six months ended July 31, 2026 and 2025 were $32.1 million and $27.3 million, respectively. We expect to continue our current level of capital expenditures for the remainder of the fiscal year ending January 31, 2027 as we continue to invest in improving the architecture and functionality of our proprietary systems. Capital expenditures to improve the architecture of our proprietary systems include computer hardware, personnel and related costs for software engineering, and outsourced software engineering services.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believe our existing cash, cash equivalents, and revolving credit facility will be sufficient to meet our operating and capital expenditure requirements for at least the next 12 months. To the extent these current and anticipated future sources of liquidity are insufficient to fund our future business activities and requirements, we may need to raise additional funds through public or private equity or debt financing. In the event that additional financing is required, we may not be able to raise it on favorable terms, if at all.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shows our cash flows from operating activities, investing activities, and financing activities for the stated periods:</w:t>
      </w:r>
    </w:p>
    <w:tbl>
      <w:tblPr>
        <w:tblW w:w="6234" w:type="dxa"/>
        <w:jc w:val="left"/>
        <w:tblInd w:w="0" w:type="dxa"/>
        <w:tblLayout w:type="fixed"/>
        <w:tblCellMar>
          <w:top w:w="28" w:type="dxa"/>
          <w:left w:w="28" w:type="dxa"/>
          <w:bottom w:w="28" w:type="dxa"/>
          <w:right w:w="28" w:type="dxa"/>
        </w:tblCellMar>
      </w:tblPr>
      <w:tblGrid>
        <w:gridCol w:w="1367"/>
        <w:gridCol w:w="1205"/>
        <w:gridCol w:w="1208"/>
        <w:gridCol w:w="196"/>
        <w:gridCol w:w="736"/>
        <w:gridCol w:w="109"/>
        <w:gridCol w:w="109"/>
        <w:gridCol w:w="109"/>
        <w:gridCol w:w="109"/>
        <w:gridCol w:w="196"/>
        <w:gridCol w:w="736"/>
        <w:gridCol w:w="154"/>
      </w:tblGrid>
      <w:tr>
        <w:trPr/>
        <w:tc>
          <w:tcPr>
            <w:tcW w:w="136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Six months ended July 31,</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7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200,604 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cash and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cash and cash equivalents</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256,003 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304,461 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rial;sans-serif" w:hAnsi="Arial;sans-serif"/>
          <w:b/>
          <w:i/>
          <w:color w:val="000000"/>
          <w:sz w:val="20"/>
        </w:rPr>
        <w:t xml:space="preserve">Cash flows from operating activities. </w:t>
      </w:r>
      <w:r>
        <w:rPr>
          <w:rFonts w:ascii="Arial;sans-serif" w:hAnsi="Arial;sans-serif"/>
          <w:b w:val="false"/>
          <w:color w:val="000000"/>
          <w:sz w:val="20"/>
        </w:rPr>
        <w:t>Net cash provided by operating activities increased by $33.1 million from the six months ended July 31, 2025 to the six months ended July 31, 2026, primarily due to increased cash receipts with respect to our custodial, service, and interchange revenues, partially offset by an increase in income tax payments.</w:t>
      </w:r>
    </w:p>
    <w:p>
      <w:pPr>
        <w:pStyle w:val="TextBody"/>
        <w:bidi w:val="0"/>
        <w:spacing w:lineRule="auto" w:line="288" w:before="120" w:after="120"/>
        <w:jc w:val="left"/>
        <w:rPr/>
      </w:pPr>
      <w:r>
        <w:rPr>
          <w:rFonts w:ascii="Arial;sans-serif" w:hAnsi="Arial;sans-serif"/>
          <w:b/>
          <w:i/>
          <w:color w:val="000000"/>
          <w:sz w:val="20"/>
        </w:rPr>
        <w:t xml:space="preserve">Cash flows from investing activities. </w:t>
      </w:r>
      <w:r>
        <w:rPr>
          <w:rFonts w:ascii="Arial;sans-serif" w:hAnsi="Arial;sans-serif"/>
          <w:b w:val="false"/>
          <w:color w:val="000000"/>
          <w:sz w:val="20"/>
        </w:rPr>
        <w:t>Net cash used in investing activities increased by $12.5 million from the six months ended July 31, 2025 to the six months ended July 31, 2026, due to a $7.8 million increase in cash paid to settle derivative financial instruments and a $4.7 million increase in capital expenditures.</w:t>
      </w:r>
    </w:p>
    <w:p>
      <w:pPr>
        <w:pStyle w:val="TextBody"/>
        <w:bidi w:val="0"/>
        <w:spacing w:lineRule="auto" w:line="288" w:before="120" w:after="120"/>
        <w:jc w:val="left"/>
        <w:rPr/>
      </w:pPr>
      <w:r>
        <w:rPr>
          <w:rFonts w:ascii="Arial;sans-serif" w:hAnsi="Arial;sans-serif"/>
          <w:b/>
          <w:i/>
          <w:color w:val="000000"/>
          <w:sz w:val="20"/>
        </w:rPr>
        <w:t xml:space="preserve">Cash flows from financing activities. </w:t>
      </w:r>
      <w:r>
        <w:rPr>
          <w:rFonts w:ascii="Arial;sans-serif" w:hAnsi="Arial;sans-serif"/>
          <w:b w:val="false"/>
          <w:color w:val="000000"/>
          <w:sz w:val="20"/>
        </w:rPr>
        <w:t>Net cash used in financing activities increased by $92.0 million from the six months ended July 31, 2025 to the six months ended July 31, 2026, primarily due to a $105.2 million increase in cash used for repurchases of common stock and a $9.8 million decrease in proceeds from the exercise of common stock options, partially offset by a $23.1 million decrease in principal payments on our long-term debt.</w:t>
      </w: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Contractual obligations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Note 5—Commitments and contingencies for information about our contractual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Off-balance sheet arrangements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July 31, 2026, we did not have any off-balance sheet arrangements that have, or are reasonably likely to have, a current or future material effect on our consolidated financial condition, results of operations, liquidity, capital expenditures, or capital resources.</w:t>
      </w: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Critical accounting policies and significant management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management’s discussion and analysis of financial condition and results of operations are based upon our unaudited condensed consolidated financial statements, which have been prepared in accordance with GAAP. The preparation of these unaudited condensed consolidated financial statements requires us to make estimates and judgments that affect the reported amounts of assets, liabilities, revenues, and expenses.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and we evaluate our critical accounting estimates on an ongoing basis. Actual results may differ from these estimates under different assumptions and conditions.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significant accounting policies are more fully described in Note 1 of the accompanying unaudited condensed consolidated financial statements and in Note 1 to our audited consolidated financial statements contained in our Annual Report on Form 10-K for the fiscal year ended January 31, 2026. There have been no significant or material changes in our critical accounting policies during the six months ended July 31, 2026, as compared to those disclosed in “Management’s discussion and analysis of financial condition and results of operations – Critical accounting policies and significant management estimates” in our Annual Report on Form 10-K for the fiscal year ended January 31, 2026.</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240"/>
        <w:jc w:val="left"/>
        <w:rPr>
          <w:rFonts w:ascii="Arial;sans-serif" w:hAnsi="Arial;sans-serif"/>
          <w:b w:val="false"/>
          <w:color w:val="000000"/>
          <w:sz w:val="20"/>
        </w:rPr>
      </w:pPr>
      <w:r>
        <w:rPr>
          <w:rFonts w:ascii="Arial;sans-serif" w:hAnsi="Arial;sans-serif"/>
          <w:b w:val="false"/>
          <w:color w:val="000000"/>
          <w:sz w:val="20"/>
        </w:rPr>
        <w:t xml:space="preserve">See Note 1—Summary of business and significant accounting policies within the interim financial statements included in this Form 10-Q for further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8"/>
        </w:rPr>
      </w:pPr>
      <w:r>
        <w:rPr>
          <w:rFonts w:ascii="Arial;sans-serif" w:hAnsi="Arial;sans-serif"/>
          <w:b/>
          <w:color w:val="000000"/>
          <w:sz w:val="28"/>
        </w:rPr>
        <w:t>Item 3. Quantitative and qualitative disclosures about market risk</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Market risk</w:t>
      </w:r>
    </w:p>
    <w:p>
      <w:pPr>
        <w:pStyle w:val="TextBody"/>
        <w:bidi w:val="0"/>
        <w:spacing w:lineRule="auto" w:line="288" w:before="120" w:after="120"/>
        <w:jc w:val="left"/>
        <w:rPr/>
      </w:pPr>
      <w:r>
        <w:rPr>
          <w:rFonts w:ascii="Arial;sans-serif" w:hAnsi="Arial;sans-serif"/>
          <w:b/>
          <w:i/>
          <w:color w:val="000000"/>
          <w:sz w:val="20"/>
        </w:rPr>
        <w:t xml:space="preserve">Concentration of market risk. </w:t>
      </w:r>
      <w:r>
        <w:rPr>
          <w:rFonts w:ascii="Arial;sans-serif" w:hAnsi="Arial;sans-serif"/>
          <w:b w:val="false"/>
          <w:color w:val="000000"/>
          <w:sz w:val="20"/>
        </w:rPr>
        <w:t>We derive a substantial portion of our revenue from providing services to tax-advantaged healthcare account holders. A significant downturn in this market or changes in state and/or federal laws impacting the preferential tax treatment of healthcare accounts such as HSAs could have a material adverse effect on our results of operations. During the six months ended July 31, 2026 and 2025, no single customer accounted for greater than 10% of our total revenue. We monitor market and regulatory changes regularly and make adjustments to our business if necessary.</w:t>
      </w:r>
    </w:p>
    <w:p>
      <w:pPr>
        <w:pStyle w:val="TextBody"/>
        <w:bidi w:val="0"/>
        <w:spacing w:lineRule="auto" w:line="288" w:before="120" w:after="120"/>
        <w:jc w:val="left"/>
        <w:rPr/>
      </w:pPr>
      <w:r>
        <w:rPr>
          <w:rFonts w:ascii="Arial;sans-serif" w:hAnsi="Arial;sans-serif"/>
          <w:b/>
          <w:i/>
          <w:color w:val="000000"/>
          <w:sz w:val="20"/>
        </w:rPr>
        <w:t xml:space="preserve">Inflation. </w:t>
      </w:r>
      <w:r>
        <w:rPr>
          <w:rFonts w:ascii="Arial;sans-serif" w:hAnsi="Arial;sans-serif"/>
          <w:b w:val="false"/>
          <w:color w:val="000000"/>
          <w:sz w:val="20"/>
        </w:rPr>
        <w:t>Inflationary factors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expenses as a percentage of revenue if our revenue does not correspondingly increase with inflation.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Concentration of credit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Financial instruments, which potentially subject us to concentrations of credit risk, consist primarily of cash and cash equivalents, accounts receivable, and derivatives. We maintain our cash and cash equivalents in bank and other depository accounts, which frequently exceed federally insured limits. Our cash and cash equivalents as of July 31, 2026 and January 31, 2026 were $256.0 million and $318.9 million, respectively, the vast majority of which was not covered by federal depository insurance. We have not experienced any material losses in such accounts. Our accounts receivable balance as of July 31, 2026 and January 31, 2026 was $122.2 million and $123.7 million, respectively. We have not experienced any significant write-offs to our accounts receivable and believe that we are not exposed to significant credit risk with respect to our accounts receivable. Our derivative contracts are executed with a reputable financial institution, and we do not believe our derivative contracts expose us to significant credit risk. We continue to monitor the credit risk associated with our financial instruments on an ongoing basis.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120" w:after="120"/>
        <w:jc w:val="left"/>
        <w:rPr/>
      </w:pPr>
      <w:r>
        <w:rPr>
          <w:rFonts w:ascii="Arial;sans-serif" w:hAnsi="Arial;sans-serif"/>
          <w:b/>
          <w:i/>
          <w:color w:val="000000"/>
          <w:sz w:val="20"/>
        </w:rPr>
        <w:t>HSA Assets and Client-held funds.</w:t>
      </w:r>
      <w:r>
        <w:rPr>
          <w:color w:val="000000"/>
        </w:rPr>
        <w:t xml:space="preserve"> </w:t>
      </w:r>
      <w:r>
        <w:rPr>
          <w:rFonts w:ascii="Arial;sans-serif" w:hAnsi="Arial;sans-serif"/>
          <w:b w:val="false"/>
          <w:color w:val="000000"/>
          <w:sz w:val="20"/>
        </w:rPr>
        <w:t xml:space="preserve">HSA Assets consist of custodial HSA funds we hold in custody on behalf of our members. As of July 31, 2026 and January 31, 2026, we held in custody HSA Assets of $37.9 billion and $36.5 billion, respectively. As a non-bank custodian, we contract with our insurance company partners and Depository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Partners to hold HSA cash on behalf of our members, and we earn a significant portion of our total revenue from interest paid to us by these partners. HSA cash held by our insurance company partners is held in group annuity contracts or similar arrangements. The lengths of our agreements with Depository Partners typically range from three to five years and have either fixed or variable interest rates.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HSA Assets increase and existing contracts with Depository Partners continue to expire, we seek to enter into new contracts with insurance company partners and Depository Partners, the terms of which are impacted by the then-prevailing interest rate environment. We believe that increased participation in our Enhanced Rates offering, diversification of insurance company partners and Depository Partners, and varied contract terms, substantially reduces our exposure to short-term fluctuations in prevailing interest rates and mitigates the short-term impact of a sustained increase or decline in prevailing interest rates on our custodial revenue.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 sustained decline in prevailing interest rates may negatively affect our business by reducing the size of the interest rate yield, or yield, available to us and thus the amount of custodial revenue we can realize. Conversely, a sustained increase in prevailing interest rates can increase our yield. An increase in our yield would increase our custodial revenue as a percentage of total revenue. In addition, if our yield increases, we expect the spread to also increase between the interest offered to us by our insurance company partners and Depository Partners and the interest retained by our members, thus increasing our profitability. However, we may be required to increase the interest retained by our members in a rising prevailing interest rate environment. Changes in prevailing interest rates are driven by macroeconomic trends and government policies over which we have no control.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entered into derivative contracts to hedge a portion of the benchmark interest rate risk of expected future placements of HSA cash; however, we continue to have exposure to such risks to the extent they are not hedged. See Note 10—Derivative financial instruments and hedging activities for further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Client-held funds are interest earning deposits from which we generate custodial revenue. As of July 31, 2026 and January 31, 2026, we held Client-held funds of $0.9 billion and $1.1 billion, respectively. These deposits are amounts remitted by Clients and held by us on their behalf to pre-fund and facilitate administration of our other CDBs. These deposits are held with Depository Partners. We deposit the Client-held funds with our Depository Partners in interest-bearing, demand deposit accounts that have a floating interest rate and no set term or duration. A sustained decline in prevailing interest rates may negatively affect our business by reducing the size of the yield available to us and thus the amount of the custodial revenue we can realize from Client-held funds. Conversely, a sustained increase in prevailing interest rates may increase our yield. Changes in prevailing interest rates are driven by macroeconomic trends and government policies over which we have no control.</w:t>
      </w:r>
    </w:p>
    <w:p>
      <w:pPr>
        <w:pStyle w:val="TextBody"/>
        <w:bidi w:val="0"/>
        <w:spacing w:lineRule="auto" w:line="288" w:before="120" w:after="120"/>
        <w:jc w:val="left"/>
        <w:rPr/>
      </w:pPr>
      <w:r>
        <w:rPr>
          <w:rFonts w:ascii="Arial;sans-serif" w:hAnsi="Arial;sans-serif"/>
          <w:b/>
          <w:i/>
          <w:color w:val="000000"/>
          <w:sz w:val="20"/>
        </w:rPr>
        <w:t>Cash and cash equivalents</w:t>
      </w:r>
      <w:r>
        <w:rPr>
          <w:rFonts w:ascii="Arial;sans-serif" w:hAnsi="Arial;sans-serif"/>
          <w:b w:val="false"/>
          <w:i/>
          <w:color w:val="000000"/>
          <w:sz w:val="20"/>
        </w:rPr>
        <w:t xml:space="preserve">. </w:t>
      </w:r>
      <w:r>
        <w:rPr>
          <w:rFonts w:ascii="Arial;sans-serif" w:hAnsi="Arial;sans-serif"/>
          <w:b w:val="false"/>
          <w:color w:val="000000"/>
          <w:sz w:val="20"/>
        </w:rPr>
        <w:t>We consider all highly liquid investments purchased with an original maturity of three months or less to be unrestricted cash equivalents. Our unrestricted cash and cash equivalents are held in institutions in the U.S. and include deposits in a money market account that is unrestricted as to withdrawal or use. As of July 31, 2026 and January 31, 2026, we had unrestricted cash and cash equivalents of $256.0 million and $318.9 million, respectively. Due to the short-term nature of these instruments, we believe that we do not have any material exposure to changes in the fair value of our cash and cash equivalents as a result of changes in interest rates.</w:t>
      </w:r>
    </w:p>
    <w:p>
      <w:pPr>
        <w:pStyle w:val="TextBody"/>
        <w:bidi w:val="0"/>
        <w:spacing w:lineRule="auto" w:line="288" w:before="120" w:after="120"/>
        <w:jc w:val="left"/>
        <w:rPr/>
      </w:pPr>
      <w:r>
        <w:rPr>
          <w:rFonts w:ascii="Arial;sans-serif" w:hAnsi="Arial;sans-serif"/>
          <w:b/>
          <w:i/>
          <w:color w:val="000000"/>
          <w:sz w:val="20"/>
        </w:rPr>
        <w:t xml:space="preserve">Long-term debt. </w:t>
      </w:r>
      <w:r>
        <w:rPr>
          <w:rFonts w:ascii="Arial;sans-serif" w:hAnsi="Arial;sans-serif"/>
          <w:b w:val="false"/>
          <w:color w:val="000000"/>
          <w:sz w:val="20"/>
        </w:rPr>
        <w:t>As of July 31, 2026 and January 31, 2026, we had $335.0 million and $361.9 million, respectively, outstanding under our revolving credit facility. The stated interest rate on our revolving credit facility is variable and was 5.08% as of July 31, 2026. Our overall interest rate sensitivity under the revolving credit facility is primarily influenced by any amounts borrowed and prevailing interest rates. For example, a one percent increase in the interest rate on the amount outstanding under our revolving credit facility as of July 31, 2026 would result in approximately $3.4 million of additional interest expense over the next 12 months. The interest rate on our $600 million of unsecured Senior Notes due 2029 is fixed at 4.50%.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8"/>
        </w:rPr>
      </w:pPr>
      <w:r>
        <w:rPr>
          <w:rFonts w:ascii="Arial;sans-serif" w:hAnsi="Arial;sans-serif"/>
          <w:b/>
          <w:color w:val="000000"/>
          <w:sz w:val="28"/>
        </w:rPr>
        <w:t>Item 4. Controls and procedures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Management, with the participation of the Company’s Chief Executive Officer (“CEO”) and Chief Financial Officer (“CFO”), has evaluated the effectiveness of the Company’s disclosure controls and procedures as of July 31, 2026, the end of the period covered by this Quarterly Report on Form 10-Q. The term “disclosure controls and procedures,” as defined in Rules 13a-15(e) and 15d-15(e) under the Exchange Act,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ccbd90a3add4d59ba0524d62c31baf0_7">
        <w:r>
          <w:rPr>
            <w:rStyle w:val="InternetLink"/>
            <w:rFonts w:ascii="Arial;sans-serif" w:hAnsi="Arial;sans-serif"/>
            <w:b w:val="false"/>
            <w:color w:val="0E32E1"/>
            <w:sz w:val="20"/>
            <w:u w:val="single"/>
          </w:rPr>
          <w:t>Table of Contents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Based on such evaluation, our CEO and our CFO concluded that as of July 31, 2026, the Company's disclosure controls and procedures were effective at the reasonable assurance level.</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There were no changes in the Company’s internal control over financial reporting identified in connection with the evaluation required by Rule 13a-15(d) and 15d-15(d) of the Exchange Act that occurred during the quarter ended July 31, 2026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1. Legal proceedings</w:t>
      </w:r>
    </w:p>
    <w:p>
      <w:pPr>
        <w:pStyle w:val="TextBody"/>
        <w:bidi w:val="0"/>
        <w:spacing w:lineRule="auto" w:line="288" w:before="120" w:after="240"/>
        <w:jc w:val="left"/>
        <w:rPr>
          <w:rFonts w:ascii="Arial;sans-serif" w:hAnsi="Arial;sans-serif"/>
          <w:b w:val="false"/>
          <w:color w:val="000000"/>
          <w:sz w:val="20"/>
        </w:rPr>
      </w:pPr>
      <w:r>
        <w:rPr>
          <w:rFonts w:ascii="Arial;sans-serif" w:hAnsi="Arial;sans-serif"/>
          <w:b w:val="false"/>
          <w:color w:val="000000"/>
          <w:sz w:val="20"/>
        </w:rPr>
        <w:t>From time-to-time, we may be subject to various legal proceedings and claims that arise in the normal course of our business activities. Except as described in Note 5—Commitments and contingencies, as of the date of this Quarterly Report on Form 10-Q, we were not a party to any litigation whereby the outcome of such litigation, if determined adversely to us, would individually or in the aggregate be reasonably expected to have a material adverse effect on our results of operations, cash flows or financial position. For a description of these legal proceedings, see Note 5—Commitments and contingencies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1A. Risk factors</w:t>
      </w:r>
    </w:p>
    <w:p>
      <w:pPr>
        <w:pStyle w:val="TextBody"/>
        <w:bidi w:val="0"/>
        <w:spacing w:lineRule="auto" w:line="288" w:before="0" w:after="120"/>
        <w:jc w:val="left"/>
        <w:rPr/>
      </w:pPr>
      <w:r>
        <w:rPr>
          <w:rFonts w:ascii="Arial;sans-serif" w:hAnsi="Arial;sans-serif"/>
          <w:b w:val="false"/>
          <w:color w:val="212529"/>
          <w:sz w:val="20"/>
        </w:rPr>
        <w:t xml:space="preserve">The risks described in “Risk factors” in our Annual Report on Form 10-K for the fiscal year ended </w:t>
      </w:r>
      <w:r>
        <w:rPr>
          <w:rFonts w:ascii="Arial;sans-serif" w:hAnsi="Arial;sans-serif"/>
          <w:b w:val="false"/>
          <w:color w:val="000000"/>
          <w:sz w:val="20"/>
        </w:rPr>
        <w:t>January 31, 2026</w:t>
      </w:r>
      <w:r>
        <w:rPr>
          <w:color w:val="212529"/>
        </w:rPr>
        <w:t xml:space="preserve"> </w:t>
      </w:r>
      <w:r>
        <w:rPr>
          <w:rFonts w:ascii="Arial;sans-serif" w:hAnsi="Arial;sans-serif"/>
          <w:b w:val="false"/>
          <w:color w:val="212529"/>
          <w:sz w:val="20"/>
        </w:rPr>
        <w:t>and subsequent periodic reports could materially and adversely affect our business, financial condition and results of operations. There have been no material changes in such risks. These risk factors do not identify all risks that we face, and our operations could also be affected by factors that are not presently known to us or that we currently consider to be immaterial to our operations.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rial;sans-serif" w:hAnsi="Arial;sans-serif"/>
          <w:b/>
          <w:color w:val="000000"/>
          <w:sz w:val="24"/>
        </w:rPr>
      </w:pPr>
      <w:r>
        <w:rPr>
          <w:rFonts w:ascii="Arial;sans-serif" w:hAnsi="Arial;sans-serif"/>
          <w:b/>
          <w:color w:val="000000"/>
          <w:sz w:val="24"/>
        </w:rPr>
        <w:t>Item 2. Unregistered sales of equity securities and use of proceeds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Issuer purchases of equity securities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information with respect to HealthEquity's repurchases of common stock during the three months ended July 31, 2026 (in thousands, except average price paid per share).</w:t>
      </w:r>
    </w:p>
    <w:tbl>
      <w:tblPr>
        <w:tblW w:w="10205" w:type="dxa"/>
        <w:jc w:val="left"/>
        <w:tblInd w:w="0" w:type="dxa"/>
        <w:tblLayout w:type="fixed"/>
        <w:tblCellMar>
          <w:top w:w="28" w:type="dxa"/>
          <w:left w:w="28" w:type="dxa"/>
          <w:bottom w:w="28" w:type="dxa"/>
          <w:right w:w="28" w:type="dxa"/>
        </w:tblCellMar>
      </w:tblPr>
      <w:tblGrid>
        <w:gridCol w:w="266"/>
        <w:gridCol w:w="235"/>
        <w:gridCol w:w="236"/>
        <w:gridCol w:w="560"/>
        <w:gridCol w:w="560"/>
        <w:gridCol w:w="562"/>
        <w:gridCol w:w="333"/>
        <w:gridCol w:w="944"/>
        <w:gridCol w:w="185"/>
        <w:gridCol w:w="993"/>
        <w:gridCol w:w="993"/>
        <w:gridCol w:w="996"/>
        <w:gridCol w:w="535"/>
        <w:gridCol w:w="2379"/>
        <w:gridCol w:w="428"/>
      </w:tblGrid>
      <w:tr>
        <w:trPr/>
        <w:tc>
          <w:tcPr>
            <w:tcW w:w="2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1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number of shares purchased (1)</w:t>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price paid per share (2)</w:t>
            </w:r>
          </w:p>
        </w:tc>
        <w:tc>
          <w:tcPr>
            <w:tcW w:w="2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number of shares purchased as part of publicly announced plans or programs</w:t>
            </w:r>
          </w:p>
        </w:tc>
        <w:tc>
          <w:tcPr>
            <w:tcW w:w="3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Approximate dollar value of shares that may yet be purchased under the plans or programs</w:t>
            </w:r>
          </w:p>
        </w:tc>
      </w:tr>
      <w:tr>
        <w:trPr/>
        <w:tc>
          <w:tcPr>
            <w:tcW w:w="7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1 - 31</w:t>
            </w:r>
          </w:p>
        </w:tc>
        <w:tc>
          <w:tcPr>
            <w:tcW w:w="16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1,019,071 </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1 - 30</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983,799 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July 1 - 31</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948,380 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6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w:t>
            </w:r>
          </w:p>
        </w:tc>
        <w:tc>
          <w:tcPr>
            <w:tcW w:w="14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w:t>
            </w:r>
          </w:p>
        </w:tc>
        <w:tc>
          <w:tcPr>
            <w:tcW w:w="3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6"/>
        </w:rPr>
      </w:pPr>
      <w:r>
        <w:rPr>
          <w:rFonts w:ascii="Arial;sans-serif" w:hAnsi="Arial;sans-serif"/>
          <w:b w:val="false"/>
          <w:color w:val="000000"/>
          <w:sz w:val="16"/>
        </w:rPr>
        <w:t>(1)Repurchases may be effected through open market purchases, privately negotiated transactions or otherwise, including through Rule 10b5-1 plans. See Note 9—Stockholders' equity for additional information related to our stock repurchase program.</w:t>
      </w:r>
    </w:p>
    <w:p>
      <w:pPr>
        <w:pStyle w:val="TextBody"/>
        <w:bidi w:val="0"/>
        <w:spacing w:lineRule="auto" w:line="288" w:before="60" w:after="60"/>
        <w:ind w:left="0" w:right="0" w:hanging="270"/>
        <w:jc w:val="left"/>
        <w:rPr>
          <w:rFonts w:ascii="Arial;sans-serif" w:hAnsi="Arial;sans-serif"/>
          <w:b w:val="false"/>
          <w:color w:val="000000"/>
          <w:sz w:val="16"/>
        </w:rPr>
      </w:pPr>
      <w:r>
        <w:rPr>
          <w:rFonts w:ascii="Arial;sans-serif" w:hAnsi="Arial;sans-serif"/>
          <w:b w:val="false"/>
          <w:color w:val="000000"/>
          <w:sz w:val="16"/>
        </w:rPr>
        <w:t>(2)Average price paid per share includes transaction fees but excludes excise tax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4"/>
        </w:rPr>
      </w:pPr>
      <w:r>
        <w:rPr>
          <w:rFonts w:ascii="Arial;sans-serif" w:hAnsi="Arial;sans-serif"/>
          <w:b/>
          <w:color w:val="000000"/>
          <w:sz w:val="24"/>
        </w:rPr>
        <w:t>Item 5. Other information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Rule 10b5-1 plan elections</w:t>
      </w:r>
    </w:p>
    <w:p>
      <w:pPr>
        <w:pStyle w:val="TextBody"/>
        <w:bidi w:val="0"/>
        <w:spacing w:lineRule="auto" w:line="288" w:before="120" w:after="120"/>
        <w:jc w:val="left"/>
        <w:rPr/>
      </w:pPr>
      <w:r>
        <w:rPr>
          <w:rFonts w:ascii="Arial;sans-serif" w:hAnsi="Arial;sans-serif"/>
          <w:b w:val="false"/>
          <w:color w:val="212529"/>
          <w:sz w:val="20"/>
        </w:rPr>
        <w:t xml:space="preserve">None of the Company's directors or officers adopted or terminated a Rule 10b5-1 trading arrangement or a non-Rule 10b5-1 trading arrangement (as such terms are defined in Item 408(c) of Regulation S-K) during the fiscal quarter ended </w:t>
      </w:r>
      <w:r>
        <w:rPr>
          <w:rFonts w:ascii="Arial;sans-serif" w:hAnsi="Arial;sans-serif"/>
          <w:b w:val="false"/>
          <w:color w:val="000000"/>
          <w:sz w:val="20"/>
        </w:rPr>
        <w:t>July 31, 2026</w:t>
      </w:r>
      <w:r>
        <w:rPr>
          <w:rFonts w:ascii="Arial;sans-serif" w:hAnsi="Arial;sans-serif"/>
          <w:b w:val="false"/>
          <w:color w:val="212529"/>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Table of Contents</w: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278"/>
        <w:gridCol w:w="245"/>
        <w:gridCol w:w="247"/>
        <w:gridCol w:w="109"/>
        <w:gridCol w:w="109"/>
        <w:gridCol w:w="109"/>
        <w:gridCol w:w="2264"/>
        <w:gridCol w:w="2129"/>
        <w:gridCol w:w="2150"/>
        <w:gridCol w:w="185"/>
        <w:gridCol w:w="185"/>
        <w:gridCol w:w="186"/>
        <w:gridCol w:w="207"/>
        <w:gridCol w:w="165"/>
        <w:gridCol w:w="162"/>
        <w:gridCol w:w="230"/>
        <w:gridCol w:w="230"/>
        <w:gridCol w:w="231"/>
        <w:gridCol w:w="232"/>
        <w:gridCol w:w="232"/>
        <w:gridCol w:w="320"/>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Incorporate by reference</w:t>
            </w:r>
          </w:p>
        </w:tc>
      </w:tr>
      <w:tr>
        <w:trPr/>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w:t>
              <w:br/>
              <w:t>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Form</w:t>
            </w:r>
          </w:p>
        </w:tc>
        <w:tc>
          <w:tcPr>
            <w:tcW w:w="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File No.</w:t>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Exhibit</w:t>
            </w:r>
          </w:p>
        </w:tc>
        <w:tc>
          <w:tcPr>
            <w:tcW w:w="7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Filing Date</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q2fy202710q.htm">
              <w:r>
                <w:rPr>
                  <w:rStyle w:val="InternetLink"/>
                  <w:rFonts w:ascii="Arial;sans-serif" w:hAnsi="Arial;sans-serif"/>
                  <w:b w:val="false"/>
                  <w:color w:val="0000FF"/>
                  <w:sz w:val="18"/>
                  <w:u w:val="single"/>
                </w:rPr>
                <w:t>Forms of Award Agreements under the Amended and Restated HealthEquity, Inc. 2024 Equity Incentive Plan</w:t>
              </w:r>
            </w:hyperlink>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ceo302xfy27q2.htm">
              <w:r>
                <w:rPr>
                  <w:rStyle w:val="InternetLink"/>
                  <w:rFonts w:ascii="Arial;sans-serif" w:hAnsi="Arial;sans-serif"/>
                  <w:b w:val="false"/>
                  <w:color w:val="0000FF"/>
                  <w:sz w:val="18"/>
                  <w:u w:val="single"/>
                </w:rPr>
                <w:t>Certification of the Principal Executive Officer Pursuant to Exchange Act Rules 13a-14(a) and 15d-14(a), as Adopted Pursuant to Section 302 of the Sarbanes-Oxley Act of 2002</w:t>
              </w:r>
            </w:hyperlink>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cfo302xfy27q2.htm">
              <w:r>
                <w:rPr>
                  <w:rStyle w:val="InternetLink"/>
                  <w:rFonts w:ascii="Arial;sans-serif" w:hAnsi="Arial;sans-serif"/>
                  <w:b w:val="false"/>
                  <w:color w:val="0000FF"/>
                  <w:sz w:val="18"/>
                  <w:u w:val="single"/>
                </w:rPr>
                <w:t>Certification of the Principal Financial Officer Pursuant to Exchange Act Rules 13a-14(a) and 15d-14(a), as Adopted Pursuant to Section 302 of the Sarbanes-Oxley Act of 2002</w:t>
              </w:r>
            </w:hyperlink>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ceo906xfy27q2.htm">
              <w:r>
                <w:rPr>
                  <w:rStyle w:val="InternetLink"/>
                  <w:rFonts w:ascii="Arial;sans-serif" w:hAnsi="Arial;sans-serif"/>
                  <w:b w:val="false"/>
                  <w:color w:val="0000FF"/>
                  <w:sz w:val="18"/>
                  <w:u w:val="single"/>
                </w:rPr>
                <w:t>Certification of the Principal Executive Officer Pursuant to 18 U.S.C. Section 1350, as Adopted Pursuant to Section 906 of the Sarbanes-Oxley Act of 2002</w:t>
              </w:r>
            </w:hyperlink>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cfo906xfy27q2.htm">
              <w:r>
                <w:rPr>
                  <w:rStyle w:val="InternetLink"/>
                  <w:rFonts w:ascii="Arial;sans-serif" w:hAnsi="Arial;sans-serif"/>
                  <w:b w:val="false"/>
                  <w:color w:val="0000FF"/>
                  <w:sz w:val="18"/>
                  <w:u w:val="single"/>
                </w:rPr>
                <w:t>Certification of the Principal Financial Officer Pursuant to 18 U.S.C. Section 1350, as Adopted Pursuant to Section 906 of the Sarbanes-Oxley Act of 2002</w:t>
              </w:r>
            </w:hyperlink>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schema linkbase document</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calculation linkbase document</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definition linkbase document</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labels linkbase document</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presentation linkbase document</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cover page from the Company’s Quarterly Report on Form 10-Q for the quarter ended July 31, 2026, formatted in Inline XBRL.</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918"/>
        <w:gridCol w:w="2748"/>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These certifications are not deemed filed with the Securities and Exchange Commission and are not to be incorporated by reference in any filing the registrant makes under the Securities Act of 1933, as amended, or the Securities Exchange Act of 1934, irrespective of any general incorporation language in any filings.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Indicates management contract or compensatory plan.</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Table of Contents</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Signatures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20" w:after="283"/>
        <w:jc w:val="left"/>
        <w:rPr/>
      </w:pPr>
      <w:r>
        <w:rPr/>
      </w:r>
    </w:p>
    <w:tbl>
      <w:tblPr>
        <w:tblW w:w="8175" w:type="dxa"/>
        <w:jc w:val="center"/>
        <w:tblInd w:w="0" w:type="dxa"/>
        <w:tblLayout w:type="fixed"/>
        <w:tblCellMar>
          <w:top w:w="28" w:type="dxa"/>
          <w:left w:w="28" w:type="dxa"/>
          <w:bottom w:w="28" w:type="dxa"/>
          <w:right w:w="28" w:type="dxa"/>
        </w:tblCellMar>
      </w:tblPr>
      <w:tblGrid>
        <w:gridCol w:w="749"/>
        <w:gridCol w:w="657"/>
        <w:gridCol w:w="664"/>
        <w:gridCol w:w="230"/>
        <w:gridCol w:w="230"/>
        <w:gridCol w:w="230"/>
        <w:gridCol w:w="230"/>
        <w:gridCol w:w="230"/>
        <w:gridCol w:w="230"/>
        <w:gridCol w:w="1373"/>
        <w:gridCol w:w="1373"/>
        <w:gridCol w:w="1979"/>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HEALTHEQUITY, INC.</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27, 2026</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James Lucania</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James Lucania</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HEALTHEQUITY, INC. </w:t>
        <w:br/>
        <w:t xml:space="preserve">RESTRICTED STOCK UNIT NOTICE </w:t>
        <w:br/>
        <w:t>(AMENDED AND RESTATED 2024 EQUITY INCENTIVE PLAN)</w:t>
      </w:r>
    </w:p>
    <w:p>
      <w:pPr>
        <w:pStyle w:val="TextBody"/>
        <w:bidi w:val="0"/>
        <w:spacing w:lineRule="auto" w:line="288" w:before="0" w:after="0"/>
        <w:ind w:left="0" w:right="0" w:firstLine="720"/>
        <w:jc w:val="both"/>
        <w:rPr/>
      </w:pPr>
      <w:r>
        <w:rPr>
          <w:rFonts w:ascii="Times New Roman;serif" w:hAnsi="Times New Roman;serif"/>
          <w:b w:val="false"/>
          <w:color w:val="000000"/>
          <w:sz w:val="20"/>
        </w:rPr>
        <w:t>HealthEquity,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pursuant to its Amended and Restated 2024 Equity Incentive Plan, as amended and restated from time to time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hereby grants to Participant a Restricted Stock Unit Award for the number of shares of the Company’s Common Stock set forth below (the “</w:t>
      </w:r>
      <w:r>
        <w:rPr>
          <w:rFonts w:ascii="Times New Roman;serif" w:hAnsi="Times New Roman;serif"/>
          <w:b/>
          <w:i/>
          <w:color w:val="000000"/>
          <w:sz w:val="20"/>
        </w:rPr>
        <w:t>Restricted Stock Units</w:t>
      </w:r>
      <w:r>
        <w:rPr>
          <w:color w:val="000000"/>
        </w:rPr>
        <w:t>”</w:t>
      </w:r>
      <w:r>
        <w:rPr>
          <w:rFonts w:ascii="Times New Roman;serif" w:hAnsi="Times New Roman;serif"/>
          <w:b w:val="false"/>
          <w:color w:val="000000"/>
          <w:sz w:val="20"/>
        </w:rPr>
        <w:t>). The Restricted Stock Unit Award is subject to all of the terms and conditions as set forth in this Restricted Stock Unit Notice (this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in the Restricted Stock Unit Award Agreement (attached hereto as Attachment I) and the Plan (attached hereto as Attachment II), both of which are incorporated herein in their entirety. Capitalized terms not explicitly defined herein but defined in the Plan or the Restricted Stock Unit Award Agreement will have the same definitions as in the Plan or the Restricted Stock Unit Award Agreement. If there is any conflict between the terms in this Grant Notice and the Plan, the terms of the Plan will control.</w:t>
      </w:r>
    </w:p>
    <w:p>
      <w:pPr>
        <w:pStyle w:val="TextBody"/>
        <w:bidi w:val="0"/>
        <w:spacing w:before="0" w:after="0"/>
        <w:ind w:left="0" w:right="0" w:firstLine="720"/>
        <w:jc w:val="both"/>
        <w:rPr/>
      </w:pPr>
      <w:r>
        <w:rPr/>
      </w:r>
    </w:p>
    <w:tbl>
      <w:tblPr>
        <w:tblW w:w="7753" w:type="dxa"/>
        <w:jc w:val="left"/>
        <w:tblInd w:w="0" w:type="dxa"/>
        <w:tblLayout w:type="fixed"/>
        <w:tblCellMar>
          <w:top w:w="28" w:type="dxa"/>
          <w:left w:w="28" w:type="dxa"/>
          <w:bottom w:w="28" w:type="dxa"/>
          <w:right w:w="28" w:type="dxa"/>
        </w:tblCellMar>
      </w:tblPr>
      <w:tblGrid>
        <w:gridCol w:w="1047"/>
        <w:gridCol w:w="921"/>
        <w:gridCol w:w="926"/>
        <w:gridCol w:w="1421"/>
        <w:gridCol w:w="1421"/>
        <w:gridCol w:w="2017"/>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Name of Participant:</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%%FIRST_NAME_MIDDLE_NAME_LAST_NAME%-%</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Date of Grant:</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%%OPTION_DATE,'Month DD, YYYY'%-%</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Vesting Commencement Date:</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%%VEST_BASE_DATE,'MONTH DD, YYYY'%-%</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Number of Restricted Stock Units:</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%%TOTAL_SHARES_GRANTED,'999,999,999'%-%</w:t>
            </w:r>
          </w:p>
        </w:tc>
      </w:tr>
    </w:tbl>
    <w:p>
      <w:pPr>
        <w:pStyle w:val="TextBody"/>
        <w:bidi w:val="0"/>
        <w:spacing w:before="0" w:after="0"/>
        <w:ind w:left="0" w:right="0" w:hanging="2880"/>
        <w:jc w:val="both"/>
        <w:rPr/>
      </w:pPr>
      <w:r>
        <w:rPr/>
      </w:r>
    </w:p>
    <w:p>
      <w:pPr>
        <w:pStyle w:val="TextBody"/>
        <w:bidi w:val="0"/>
        <w:spacing w:lineRule="auto" w:line="288" w:before="0" w:after="240"/>
        <w:ind w:left="0" w:right="0" w:hanging="2880"/>
        <w:jc w:val="both"/>
        <w:rPr/>
      </w:pPr>
      <w:r>
        <w:rPr>
          <w:rFonts w:ascii="Times New Roman;serif" w:hAnsi="Times New Roman;serif"/>
          <w:b/>
          <w:color w:val="000000"/>
          <w:sz w:val="20"/>
        </w:rPr>
        <w:t>Vesting Schedule:    </w:t>
      </w:r>
      <w:r>
        <w:rPr>
          <w:rFonts w:ascii="Times New Roman;serif" w:hAnsi="Times New Roman;serif"/>
          <w:b w:val="false"/>
          <w:color w:val="000000"/>
          <w:sz w:val="20"/>
        </w:rPr>
        <w:t>The shares subject to the Award shall vest, subject to Participant’s Continuous Service as of each applicable vesting date, as follows: twenty-five percent (25%) of the shares initially subject to the Award shall vest on the first anniversary of the Vesting Commencement Date and six and one quarter percent (6.25%) of the shares initially subject to the Award shall vest thereafter on the first day of each calendar quarter for the twelve (12) calendar quarters following the first anniversary of the Vesting Commencement Date (in each case, rounded down to the nearest whole share except with respect to the last vesting period, with respect to which all remaining shares shall vest).</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Treatment on a Change in </w:t>
      </w:r>
    </w:p>
    <w:p>
      <w:pPr>
        <w:pStyle w:val="TextBody"/>
        <w:bidi w:val="0"/>
        <w:spacing w:lineRule="auto" w:line="288" w:before="0" w:after="240"/>
        <w:ind w:left="0" w:right="0" w:hanging="2880"/>
        <w:jc w:val="both"/>
        <w:rPr/>
      </w:pPr>
      <w:r>
        <w:rPr>
          <w:rFonts w:ascii="Times New Roman;serif" w:hAnsi="Times New Roman;serif"/>
          <w:b/>
          <w:color w:val="000000"/>
          <w:sz w:val="20"/>
        </w:rPr>
        <w:t>Control:    </w:t>
      </w:r>
      <w:r>
        <w:rPr>
          <w:rFonts w:ascii="Times New Roman;serif" w:hAnsi="Times New Roman;serif"/>
          <w:b w:val="false"/>
          <w:color w:val="000000"/>
          <w:sz w:val="20"/>
        </w:rPr>
        <w:t>If a Change in Control occurs during Participant’s Continuous Service, the Restricted Stock Unit Award shall be treated in accordance with terms of Section 9(d) of the Plan. Notwithstanding Section 9(d)(ii) of the Plan, if the surviving corporation or acquiring corporation (or the surviving or acquiring corporation’s parent company) assumes or continues the Restricted Stock Unit Award or substitutes the Restricted Stock Unit Award for a similar stock award in accordance with Section 9(c)(i) of the Plan (such units, the “</w:t>
      </w:r>
      <w:r>
        <w:rPr>
          <w:rFonts w:ascii="Times New Roman;serif" w:hAnsi="Times New Roman;serif"/>
          <w:b/>
          <w:i/>
          <w:color w:val="000000"/>
          <w:sz w:val="20"/>
        </w:rPr>
        <w:t>Eligible Restricted Stock Units</w:t>
      </w:r>
      <w:r>
        <w:rPr>
          <w:color w:val="000000"/>
        </w:rPr>
        <w:t>”</w:t>
      </w:r>
      <w:r>
        <w:rPr>
          <w:rFonts w:ascii="Times New Roman;serif" w:hAnsi="Times New Roman;serif"/>
          <w:b w:val="false"/>
          <w:color w:val="000000"/>
          <w:sz w:val="20"/>
        </w:rPr>
        <w:t>) and Participant’s Continuous Service is terminated due to Participant’s death or Disability</w:t>
      </w:r>
      <w:r>
        <w:rPr>
          <w:color w:val="000000"/>
          <w:shd w:fill="FFFFFF" w:val="clear"/>
        </w:rPr>
        <w:t xml:space="preserve"> </w:t>
      </w:r>
      <w:r>
        <w:rPr>
          <w:rFonts w:ascii="Times New Roman;serif" w:hAnsi="Times New Roman;serif"/>
          <w:b w:val="false"/>
          <w:color w:val="000000"/>
          <w:sz w:val="20"/>
          <w:shd w:fill="FFFFFF" w:val="clear"/>
        </w:rPr>
        <w:t>during the twenty-four (24)-month period commencing on such Change in Control</w:t>
      </w:r>
      <w:r>
        <w:rPr>
          <w:rFonts w:ascii="Times New Roman;serif" w:hAnsi="Times New Roman;serif"/>
          <w:b w:val="false"/>
          <w:color w:val="000000"/>
          <w:sz w:val="20"/>
        </w:rPr>
        <w:t>, all Eligible Restricted Stock Units that have not previously vested shall vest as of the date of such termination.</w:t>
      </w:r>
    </w:p>
    <w:p>
      <w:pPr>
        <w:pStyle w:val="TextBody"/>
        <w:bidi w:val="0"/>
        <w:spacing w:lineRule="auto" w:line="288" w:before="0" w:after="0"/>
        <w:ind w:left="0" w:right="0" w:hanging="2880"/>
        <w:jc w:val="both"/>
        <w:rPr>
          <w:rFonts w:ascii="Times New Roman;serif" w:hAnsi="Times New Roman;serif"/>
          <w:b/>
          <w:color w:val="000000"/>
          <w:sz w:val="20"/>
        </w:rPr>
      </w:pPr>
      <w:r>
        <w:rPr>
          <w:rFonts w:ascii="Times New Roman;serif" w:hAnsi="Times New Roman;serif"/>
          <w:b/>
          <w:color w:val="000000"/>
          <w:sz w:val="20"/>
        </w:rPr>
        <w:t>Treatment on a Termination</w:t>
      </w:r>
    </w:p>
    <w:p>
      <w:pPr>
        <w:pStyle w:val="TextBody"/>
        <w:bidi w:val="0"/>
        <w:spacing w:lineRule="auto" w:line="288" w:before="0" w:after="240"/>
        <w:ind w:left="0" w:right="0" w:hanging="2880"/>
        <w:jc w:val="both"/>
        <w:rPr/>
      </w:pPr>
      <w:r>
        <w:rPr>
          <w:rFonts w:ascii="Times New Roman;serif" w:hAnsi="Times New Roman;serif"/>
          <w:b/>
          <w:color w:val="000000"/>
          <w:sz w:val="20"/>
        </w:rPr>
        <w:t>Due to Death or Disability:    </w:t>
      </w:r>
      <w:r>
        <w:rPr>
          <w:rFonts w:ascii="Times New Roman;serif" w:hAnsi="Times New Roman;serif"/>
          <w:b w:val="false"/>
          <w:color w:val="000000"/>
          <w:sz w:val="20"/>
        </w:rPr>
        <w:t xml:space="preserve">If, prior to a Change in Control, Participant’s Continuous Service terminates as a result of Participant’s death or Disability, subject to Participant’s (or Participant’s legal representative’s) execution and delivery of the Company’s standard form of a general release of claims in favor of the Company and its Affiliates and such release becoming irrevocable no later than sixty (60) days </w:t>
      </w:r>
    </w:p>
    <w:p>
      <w:pPr>
        <w:pStyle w:val="TextBody"/>
        <w:bidi w:val="0"/>
        <w:spacing w:before="0" w:after="24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following such termination, all Restricted Stock Units that have not previously vested shall vest as of the date of such termination.</w:t>
      </w:r>
    </w:p>
    <w:p>
      <w:pPr>
        <w:pStyle w:val="TextBody"/>
        <w:bidi w:val="0"/>
        <w:spacing w:lineRule="auto" w:line="288" w:before="0" w:after="240"/>
        <w:ind w:left="0" w:right="0" w:hanging="2880"/>
        <w:jc w:val="both"/>
        <w:rPr/>
      </w:pPr>
      <w:r>
        <w:rPr>
          <w:rFonts w:ascii="Times New Roman;serif" w:hAnsi="Times New Roman;serif"/>
          <w:b/>
          <w:color w:val="000000"/>
          <w:sz w:val="20"/>
        </w:rPr>
        <w:t>Issuance Schedule:    </w:t>
      </w:r>
      <w:r>
        <w:rPr>
          <w:rFonts w:ascii="Times New Roman;serif" w:hAnsi="Times New Roman;serif"/>
          <w:b w:val="false"/>
          <w:color w:val="000000"/>
          <w:sz w:val="20"/>
        </w:rPr>
        <w:t>Subject to any change in respect of a Capitalization Adjustment (as provided in the Plan), one share of Common Stock will be issued for each Restricted Stock Unit that vests at the time set forth in Section 6 of the Restricted Stock Unit Award Agreement.</w:t>
      </w:r>
    </w:p>
    <w:p>
      <w:pPr>
        <w:pStyle w:val="TextBody"/>
        <w:bidi w:val="0"/>
        <w:spacing w:lineRule="auto" w:line="288" w:before="0" w:after="240"/>
        <w:ind w:left="0" w:right="0" w:hanging="2880"/>
        <w:jc w:val="both"/>
        <w:rPr/>
      </w:pPr>
      <w:r>
        <w:rPr>
          <w:rFonts w:ascii="Times New Roman;serif" w:hAnsi="Times New Roman;serif"/>
          <w:b/>
          <w:color w:val="000000"/>
          <w:sz w:val="20"/>
        </w:rPr>
        <w:t>Restrictive Covenants:    </w:t>
      </w:r>
      <w:r>
        <w:rPr>
          <w:rFonts w:ascii="Times New Roman;serif" w:hAnsi="Times New Roman;serif"/>
          <w:b w:val="false"/>
          <w:color w:val="000000"/>
          <w:sz w:val="20"/>
        </w:rPr>
        <w:t>As a condition of the grant of Restricted Stock Units hereunder, the undersigned Participant hereby affirms all confidentiality, non-interference, invention assignment or similar covenants previously made by Participant in favor of the Company and acknowledges that such covenants are independent obligations of Participant (such covenants, the “</w:t>
      </w:r>
      <w:r>
        <w:rPr>
          <w:rFonts w:ascii="Times New Roman;serif" w:hAnsi="Times New Roman;serif"/>
          <w:b/>
          <w:i/>
          <w:color w:val="000000"/>
          <w:sz w:val="20"/>
        </w:rPr>
        <w:t>Team Member Confidentiality Agreement</w:t>
      </w:r>
      <w:r>
        <w:rPr>
          <w:color w:val="000000"/>
        </w:rPr>
        <w:t>”</w:t>
      </w:r>
      <w:r>
        <w:rPr>
          <w:rFonts w:ascii="Times New Roman;serif" w:hAnsi="Times New Roman;serif"/>
          <w:b w:val="false"/>
          <w:color w:val="000000"/>
          <w:sz w:val="20"/>
        </w:rPr>
        <w:t>). Participant hereby acknowledges and agrees that this Grant Notice and the Team Member Confidentiality Agreement will be considered separate contracts, and the Team Member Confidentiality Agreement will survive the termination of this Grant Notice for any reason.</w:t>
      </w:r>
    </w:p>
    <w:p>
      <w:pPr>
        <w:pStyle w:val="TextBody"/>
        <w:bidi w:val="0"/>
        <w:spacing w:before="0" w:after="0"/>
        <w:ind w:left="0" w:right="0" w:hanging="2880"/>
        <w:jc w:val="both"/>
        <w:rPr/>
      </w:pPr>
      <w:r>
        <w:rPr/>
      </w:r>
    </w:p>
    <w:p>
      <w:pPr>
        <w:pStyle w:val="TextBody"/>
        <w:bidi w:val="0"/>
        <w:spacing w:lineRule="auto" w:line="288" w:before="0" w:after="0"/>
        <w:ind w:left="0" w:right="0" w:hanging="2880"/>
        <w:jc w:val="both"/>
        <w:rPr>
          <w:rFonts w:ascii="Times New Roman;serif" w:hAnsi="Times New Roman;serif"/>
          <w:b/>
          <w:color w:val="000000"/>
          <w:sz w:val="20"/>
        </w:rPr>
      </w:pPr>
      <w:r>
        <w:rPr>
          <w:rFonts w:ascii="Times New Roman;serif" w:hAnsi="Times New Roman;serif"/>
          <w:b/>
          <w:color w:val="000000"/>
          <w:sz w:val="20"/>
        </w:rPr>
        <w:t xml:space="preserve">Share Ownership </w:t>
      </w:r>
    </w:p>
    <w:p>
      <w:pPr>
        <w:pStyle w:val="TextBody"/>
        <w:bidi w:val="0"/>
        <w:spacing w:lineRule="auto" w:line="288" w:before="0" w:after="240"/>
        <w:ind w:left="0" w:right="0" w:hanging="2880"/>
        <w:jc w:val="both"/>
        <w:rPr/>
      </w:pPr>
      <w:r>
        <w:rPr>
          <w:rFonts w:ascii="Times New Roman;serif" w:hAnsi="Times New Roman;serif"/>
          <w:b/>
          <w:color w:val="000000"/>
          <w:sz w:val="20"/>
        </w:rPr>
        <w:t>Guidelines, Etc.</w:t>
      </w:r>
      <w:r>
        <w:rPr>
          <w:rFonts w:ascii="Times New Roman;serif" w:hAnsi="Times New Roman;serif"/>
          <w:b w:val="false"/>
          <w:color w:val="000000"/>
          <w:sz w:val="20"/>
        </w:rPr>
        <w:t>:    The Restricted Stock Units (and any compensation paid or shares issued in respect of the Restricted Stock Units) are subject to (i) any share ownership guidelines to which Participant may be subject, and (ii) any insider trading policy adopted by the Company and any applicable law regulating trading by employees.</w:t>
      </w:r>
    </w:p>
    <w:p>
      <w:pPr>
        <w:pStyle w:val="TextBody"/>
        <w:bidi w:val="0"/>
        <w:spacing w:lineRule="auto" w:line="288" w:before="0" w:after="0"/>
        <w:ind w:left="0" w:right="0" w:hanging="2880"/>
        <w:jc w:val="left"/>
        <w:rPr>
          <w:rFonts w:ascii="Times New Roman;serif" w:hAnsi="Times New Roman;serif"/>
          <w:b/>
          <w:color w:val="000000"/>
          <w:sz w:val="20"/>
        </w:rPr>
      </w:pPr>
      <w:r>
        <w:rPr>
          <w:rFonts w:ascii="Times New Roman;serif" w:hAnsi="Times New Roman;serif"/>
          <w:b/>
          <w:color w:val="000000"/>
          <w:sz w:val="20"/>
        </w:rPr>
        <w:t>Additional Terms/</w:t>
      </w:r>
    </w:p>
    <w:p>
      <w:pPr>
        <w:pStyle w:val="TextBody"/>
        <w:bidi w:val="0"/>
        <w:spacing w:lineRule="auto" w:line="288" w:before="0" w:after="240"/>
        <w:ind w:left="0" w:right="0" w:hanging="2880"/>
        <w:jc w:val="both"/>
        <w:rPr/>
      </w:pPr>
      <w:r>
        <w:rPr>
          <w:rFonts w:ascii="Times New Roman;serif" w:hAnsi="Times New Roman;serif"/>
          <w:b/>
          <w:color w:val="000000"/>
          <w:sz w:val="20"/>
        </w:rPr>
        <w:t>Acknowledgements:    </w:t>
      </w:r>
      <w:r>
        <w:rPr>
          <w:rFonts w:ascii="Times New Roman;serif" w:hAnsi="Times New Roman;serif"/>
          <w:b w:val="false"/>
          <w:color w:val="000000"/>
          <w:sz w:val="20"/>
        </w:rPr>
        <w:t>By signing below or, if applicable, electronically accepting this Restricted Stock Unit Award, the undersigned Participant acknowledges having received and reviewed in their entirety, and fully understands and agrees to all provisions of, this Grant Notice, the Restricted Stock Unit Award Agreement, the Plan and the Team Member Confidentiality Agreement. Participant acknowledges and agrees that this Grant Notice and the Restricted Stock Unit Award Agreement may not be modified, amended or revised except as provided in the Plan. Participant further acknowledges that, as of the Date of Grant, this Grant Notice, the Restricted Stock Unit Award Agreement, the Plan and the Team Member Confidentiality Agreement set forth the entire agreement and understanding between Participant and the Company regarding the acquisition of the Common Stock pursuant to the Award specified above and supersede all prior oral and written agreements, promises and/or representations on that subject with the exception of (i) Restricted Stock Units previously granted and delivered to Participant, (ii) any applicable compensation recovery policy that is adopted by the Company or is otherwise required by applicable law, and (iii) any written employment or severance arrangement that would provide for vesting acceleration of this Restricted Stock Unit Award upon the terms and conditions set forth therein. By accepting this Restricted Stock Unit Award, Participant consents to receive such documents by electronic delivery and to participate in the Plan through an online or electronic system established and maintained by the Company or another third party designated by the Company.</w:t>
      </w:r>
    </w:p>
    <w:p>
      <w:pPr>
        <w:pStyle w:val="TextBody"/>
        <w:bidi w:val="0"/>
        <w:spacing w:lineRule="auto" w:line="288" w:before="0" w:after="240"/>
        <w:ind w:left="0" w:right="0" w:hanging="2880"/>
        <w:jc w:val="both"/>
        <w:rPr/>
      </w:pPr>
      <w:r>
        <w:rPr>
          <w:rFonts w:ascii="Times New Roman;serif" w:hAnsi="Times New Roman;serif"/>
          <w:b/>
          <w:color w:val="000000"/>
          <w:sz w:val="20"/>
        </w:rPr>
        <w:t>Withholding Tax Election:    </w:t>
      </w:r>
      <w:r>
        <w:rPr>
          <w:rFonts w:ascii="Times New Roman;serif" w:hAnsi="Times New Roman;serif"/>
          <w:b w:val="false"/>
          <w:color w:val="000000"/>
          <w:sz w:val="20"/>
        </w:rPr>
        <w:t>Participant understands that by accepting this Restricted Stock Unit Award, Participant hereby (i) affirmatively elects (the “</w:t>
      </w:r>
      <w:r>
        <w:rPr>
          <w:rFonts w:ascii="Times New Roman;serif" w:hAnsi="Times New Roman;serif"/>
          <w:b/>
          <w:i/>
          <w:color w:val="000000"/>
          <w:sz w:val="20"/>
        </w:rPr>
        <w:t>Sell to Cover Election</w:t>
      </w:r>
      <w:r>
        <w:rPr>
          <w:color w:val="000000"/>
        </w:rPr>
        <w:t>”</w:t>
      </w:r>
      <w:r>
        <w:rPr>
          <w:rFonts w:ascii="Times New Roman;serif" w:hAnsi="Times New Roman;serif"/>
          <w:b w:val="false"/>
          <w:color w:val="000000"/>
          <w:sz w:val="20"/>
        </w:rPr>
        <w:t xml:space="preserve">), effective as of the Date of Grant, to sell that number of shares of Common Stock determined in accordance with Section 10(a) of the Restricted Stock Unit Award </w:t>
      </w:r>
    </w:p>
    <w:p>
      <w:pPr>
        <w:pStyle w:val="TextBody"/>
        <w:bidi w:val="0"/>
        <w:spacing w:before="0" w:after="24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Agreement, and to allow the Agent (as defined in the Restricted Stock Unit Award Agreement) to remit the cash proceeds of such sale to the Company as more specifically set forth in Section 10(a) of the Restricted Stock Unit Award Agreement; (ii) directs the Company to make a cash payment equal to the required tax withholding from the cash proceeds of such sale directly to the appropriate taxing authorities; and (iii) represents and warrants that (x) Participant has carefully reviewed Section 10(a) of the Restricted Stock Unit Award Agreement, (y) on the date Participant accepts this Restricted Stock Unit Award, he or she is not aware of any material, nonpublic information with respect to the Company or any securities of the Company, is not subject to any legal, regulatory or contractual restriction that would prevent the Agent from conducting sales, does not have, and will not attempt to exercise, authority, influence or control over any sales of shares of Common Stock effected by the Agent pursuant to the Restricted Stock Unit Award Agreement, and is entering into the Restricted Stock Unit Award Agreement and the Sell to Cover Election in good faith and not as part of a plan or scheme to evade the prohibitions of Rule 10b5-1 (regarding trading of the Company’s securities on the basis of material nonpublic information) under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and (z) it is Participant’s intent that the Sell to Cover Election comply with the requirements of Rule 10b5-1(c)(1)(i)(B) under the Exchange Act and be interpreted to comply with the requirements of Rule 10b5-1(c) under the Exchange Act.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This Award of Restricted Stock Units is subject to Participant’s returning a signed copy of this Grant Notice to the Company or, if applicable, electronically accepting this Award through the E*Trade website. Participant shall forfeit the Restricted Stock Units if Participant does not execute this Grant Notice or otherwise accept the Restricted Stock Units within 360 days of the Vesting Commencement Date.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HealthEquity, Inc.    Participant</w:t>
      </w:r>
    </w:p>
    <w:p>
      <w:pPr>
        <w:pStyle w:val="TextBody"/>
        <w:bidi w:val="0"/>
        <w:spacing w:lineRule="auto" w:line="288" w:before="0" w:after="0"/>
        <w:jc w:val="left"/>
        <w:rPr/>
      </w:pPr>
      <w:r>
        <w:rPr>
          <w:rFonts w:ascii="Times New Roman;serif" w:hAnsi="Times New Roman;serif"/>
          <w:b w:val="false"/>
          <w:color w:val="000000"/>
          <w:sz w:val="20"/>
        </w:rPr>
        <w:t>By:</w:t>
      </w:r>
      <w:r>
        <w:rPr>
          <w:color w:val="000000"/>
          <w:u w:val="single"/>
        </w:rPr>
        <w:t>    </w:t>
      </w:r>
      <w:r>
        <w:rPr>
          <w:color w:val="000000"/>
        </w:rPr>
        <w:t>    </w:t>
      </w:r>
      <w:r>
        <w:rPr>
          <w:rFonts w:ascii="Times New Roman;serif" w:hAnsi="Times New Roman;serif"/>
          <w:b w:val="false"/>
          <w:color w:val="000000"/>
          <w:sz w:val="20"/>
        </w:rPr>
        <w:t>By:</w:t>
      </w:r>
      <w:r>
        <w:rPr>
          <w:color w:val="000000"/>
          <w:u w:val="single"/>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Signature    Signature</w:t>
      </w:r>
    </w:p>
    <w:p>
      <w:pPr>
        <w:pStyle w:val="TextBody"/>
        <w:bidi w:val="0"/>
        <w:spacing w:lineRule="auto" w:line="288" w:before="0" w:after="240"/>
        <w:jc w:val="left"/>
        <w:rPr/>
      </w:pPr>
      <w:r>
        <w:rPr>
          <w:rFonts w:ascii="Times New Roman;serif" w:hAnsi="Times New Roman;serif"/>
          <w:b w:val="false"/>
          <w:color w:val="000000"/>
          <w:sz w:val="20"/>
        </w:rPr>
        <w:t>Title:</w:t>
      </w:r>
      <w:r>
        <w:rPr>
          <w:color w:val="000000"/>
          <w:u w:val="single"/>
        </w:rPr>
        <w:t>    </w:t>
      </w:r>
      <w:r>
        <w:rPr>
          <w:color w:val="000000"/>
        </w:rPr>
        <w:t>    </w:t>
      </w:r>
      <w:r>
        <w:rPr>
          <w:rFonts w:ascii="Times New Roman;serif" w:hAnsi="Times New Roman;serif"/>
          <w:b w:val="false"/>
          <w:color w:val="000000"/>
          <w:sz w:val="20"/>
        </w:rPr>
        <w:t>Title:</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0"/>
        </w:rPr>
        <w:t>Date:</w:t>
      </w:r>
      <w:r>
        <w:rPr>
          <w:color w:val="000000"/>
          <w:u w:val="single"/>
        </w:rPr>
        <w:t>    </w:t>
      </w:r>
    </w:p>
    <w:p>
      <w:pPr>
        <w:pStyle w:val="TextBody"/>
        <w:bidi w:val="0"/>
        <w:spacing w:lineRule="auto" w:line="288" w:before="0" w:after="240"/>
        <w:jc w:val="left"/>
        <w:rPr/>
      </w:pPr>
      <w:r>
        <w:rPr>
          <w:rFonts w:ascii="Times New Roman;serif" w:hAnsi="Times New Roman;serif"/>
          <w:b/>
          <w:color w:val="000000"/>
          <w:sz w:val="20"/>
        </w:rPr>
        <w:t>Attachments:</w:t>
      </w:r>
      <w:r>
        <w:rPr>
          <w:color w:val="000000"/>
        </w:rPr>
        <w:t xml:space="preserve"> </w:t>
      </w:r>
      <w:r>
        <w:rPr>
          <w:rFonts w:ascii="Times New Roman;serif" w:hAnsi="Times New Roman;serif"/>
          <w:b w:val="false"/>
          <w:color w:val="000000"/>
          <w:sz w:val="20"/>
        </w:rPr>
        <w:t>Restricted Stock Unit Award Agreement and Amended and Restated 2024 Equity Incentive Plan</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ATTACHMENT I</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Restricted Stock Unit Agreement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attached)</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ATTACHMENT II</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Equity Incentive Plan</w:t>
      </w:r>
    </w:p>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(see attached)</w:t>
      </w:r>
    </w:p>
    <w:p>
      <w:pPr>
        <w:pStyle w:val="TextBody"/>
        <w:bidi w:val="0"/>
        <w:spacing w:before="0" w:after="24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Attachment I</w:t>
        <w:br/>
        <w:br/>
        <w:t>HealthEquity, Inc.</w:t>
        <w:br/>
        <w:t>Amended and Restated 2024 Equity Incentive Plan</w:t>
        <w:br/>
        <w:br/>
        <w:t xml:space="preserve">Non-Employee Director </w:t>
        <w:br/>
        <w:t>Restricted Stock Unit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Pursuant to the Non-Employee Director Restricted Stock Unit Notice (the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and this Non-Employee Director Restricted Stock Unit Award Agreement (this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HealthEquity,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granted you a Restricted Stock Unit Award (this “</w:t>
      </w:r>
      <w:r>
        <w:rPr>
          <w:rFonts w:ascii="Times New Roman;serif" w:hAnsi="Times New Roman;serif"/>
          <w:b/>
          <w:i/>
          <w:color w:val="000000"/>
          <w:sz w:val="20"/>
        </w:rPr>
        <w:t>Award</w:t>
      </w:r>
      <w:r>
        <w:rPr>
          <w:color w:val="000000"/>
        </w:rPr>
        <w:t>”</w:t>
      </w:r>
      <w:r>
        <w:rPr>
          <w:rFonts w:ascii="Times New Roman;serif" w:hAnsi="Times New Roman;serif"/>
          <w:b w:val="false"/>
          <w:color w:val="000000"/>
          <w:sz w:val="20"/>
        </w:rPr>
        <w:t>) under its Amended and Restated 2024 Equity Incentive Plan, as amended and restated from time to time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for the number of Restricted Stock Units indicated in the Grant Notice.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there is any conflict between the terms in this Agreement and the Plan, the terms of the Plan will control. Capitalized terms not explicitly defined in this Agreement or in the Grant Notice but defined in the Plan will have the same definitions as in the Plan.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details of your Restricted Stock Unit Award, in addition to those set forth in the Grant Notice and the Plan, are as follows:</w:t>
      </w:r>
    </w:p>
    <w:p>
      <w:pPr>
        <w:pStyle w:val="TextBody"/>
        <w:bidi w:val="0"/>
        <w:spacing w:lineRule="auto" w:line="288" w:before="0" w:after="240"/>
        <w:jc w:val="both"/>
        <w:rPr/>
      </w:pPr>
      <w:r>
        <w:rPr>
          <w:rFonts w:ascii="Times New Roman;serif" w:hAnsi="Times New Roman;serif"/>
          <w:b/>
          <w:color w:val="000000"/>
          <w:sz w:val="20"/>
        </w:rPr>
        <w:t>1.</w:t>
      </w:r>
      <w:r>
        <w:rPr>
          <w:rFonts w:ascii="Times New Roman;serif" w:hAnsi="Times New Roman;serif"/>
          <w:b/>
          <w:color w:val="000000"/>
          <w:sz w:val="20"/>
        </w:rPr>
        <w:t xml:space="preserve">Grant of the Award. </w:t>
      </w:r>
      <w:r>
        <w:rPr>
          <w:rFonts w:ascii="Times New Roman;serif" w:hAnsi="Times New Roman;serif"/>
          <w:b w:val="false"/>
          <w:color w:val="000000"/>
          <w:sz w:val="20"/>
        </w:rPr>
        <w:t>This Award represents the right to be issued on a future date one (1) share of Common Stock for each Restricted Stock Unit that vests on the applicable vesting date(s) (subject to any adjustment under Section 3 below) as indicated in the Grant Notice. As of the Date of Grant, the Company will credit to a bookkeeping account maintained by or on behalf of the Company for your benefit (the “</w:t>
      </w:r>
      <w:r>
        <w:rPr>
          <w:rFonts w:ascii="Times New Roman;serif" w:hAnsi="Times New Roman;serif"/>
          <w:b w:val="false"/>
          <w:i/>
          <w:color w:val="000000"/>
          <w:sz w:val="20"/>
        </w:rPr>
        <w:t>Account</w:t>
      </w:r>
      <w:r>
        <w:rPr>
          <w:color w:val="000000"/>
        </w:rPr>
        <w:t>”</w:t>
      </w:r>
      <w:r>
        <w:rPr>
          <w:rFonts w:ascii="Times New Roman;serif" w:hAnsi="Times New Roman;serif"/>
          <w:b w:val="false"/>
          <w:color w:val="000000"/>
          <w:sz w:val="20"/>
        </w:rPr>
        <w:t>) the number of Restricted Stock Units subject to the Award. This Award was granted in consideration of your services to the Company.</w:t>
      </w:r>
    </w:p>
    <w:p>
      <w:pPr>
        <w:pStyle w:val="TextBody"/>
        <w:bidi w:val="0"/>
        <w:spacing w:lineRule="auto" w:line="288" w:before="0" w:after="240"/>
        <w:jc w:val="both"/>
        <w:rPr/>
      </w:pPr>
      <w:r>
        <w:rPr>
          <w:rFonts w:ascii="Times New Roman;serif" w:hAnsi="Times New Roman;serif"/>
          <w:b/>
          <w:color w:val="000000"/>
          <w:sz w:val="20"/>
        </w:rPr>
        <w:t>2.</w:t>
      </w:r>
      <w:r>
        <w:rPr>
          <w:rFonts w:ascii="Times New Roman;serif" w:hAnsi="Times New Roman;serif"/>
          <w:b/>
          <w:color w:val="000000"/>
          <w:sz w:val="20"/>
        </w:rPr>
        <w:t>Vesting</w:t>
      </w:r>
      <w:r>
        <w:rPr>
          <w:rFonts w:ascii="Times New Roman;serif" w:hAnsi="Times New Roman;serif"/>
          <w:b w:val="false"/>
          <w:color w:val="000000"/>
          <w:sz w:val="20"/>
        </w:rPr>
        <w:t>. Subject to the limitations contained herein, your Award will vest as provided in your Grant Notice. Vesting will cease upon the termination of your Continuous Service. Upon such termination of your Continuous Service, the Restricted Stock Units credited to the Account that were not vested on the date of such termination will be forfeited at no cost to the Company and you will have no further right, title or interest in or to such underlying shares of Common Stock.</w:t>
      </w:r>
    </w:p>
    <w:p>
      <w:pPr>
        <w:pStyle w:val="TextBody"/>
        <w:bidi w:val="0"/>
        <w:spacing w:lineRule="auto" w:line="288" w:before="0" w:after="240"/>
        <w:jc w:val="both"/>
        <w:rPr/>
      </w:pPr>
      <w:r>
        <w:rPr>
          <w:rFonts w:ascii="Times New Roman;serif" w:hAnsi="Times New Roman;serif"/>
          <w:b w:val="false"/>
          <w:color w:val="000000"/>
          <w:sz w:val="20"/>
        </w:rPr>
        <w:t>3.</w:t>
      </w:r>
      <w:r>
        <w:rPr>
          <w:rFonts w:ascii="Times New Roman;serif" w:hAnsi="Times New Roman;serif"/>
          <w:b/>
          <w:color w:val="000000"/>
          <w:sz w:val="20"/>
        </w:rPr>
        <w:t>Number of Shares</w:t>
      </w:r>
      <w:r>
        <w:rPr>
          <w:rFonts w:ascii="Times New Roman;serif" w:hAnsi="Times New Roman;serif"/>
          <w:b w:val="false"/>
          <w:color w:val="000000"/>
          <w:sz w:val="20"/>
        </w:rPr>
        <w:t>. The number of Restricted Stock Units subject to your Award may be adjusted from time to time for 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covered by your Award. Notwithstanding the provisions of this Section 3, no fractional shares or rights for fractional shares of Common Stock shall be created pursuant to this Section 3. Any fraction of a share will be rounded down to the nearest whole share.</w:t>
      </w:r>
    </w:p>
    <w:p>
      <w:pPr>
        <w:pStyle w:val="TextBody"/>
        <w:bidi w:val="0"/>
        <w:spacing w:lineRule="auto" w:line="288" w:before="0" w:after="240"/>
        <w:jc w:val="both"/>
        <w:rPr/>
      </w:pPr>
      <w:r>
        <w:rPr>
          <w:rFonts w:ascii="Times New Roman;serif" w:hAnsi="Times New Roman;serif"/>
          <w:b w:val="false"/>
          <w:color w:val="000000"/>
          <w:sz w:val="20"/>
        </w:rPr>
        <w:t>4.</w:t>
      </w:r>
      <w:r>
        <w:rPr>
          <w:rFonts w:ascii="Times New Roman;serif" w:hAnsi="Times New Roman;serif"/>
          <w:b/>
          <w:color w:val="000000"/>
          <w:sz w:val="20"/>
        </w:rPr>
        <w:t>Securities Law Compliance</w:t>
      </w:r>
      <w:r>
        <w:rPr>
          <w:rFonts w:ascii="Times New Roman;serif" w:hAnsi="Times New Roman;serif"/>
          <w:b w:val="false"/>
          <w:color w:val="000000"/>
          <w:sz w:val="20"/>
        </w:rPr>
        <w:t>. You may not be issued any shares of Common Stock under your Award unless the shares of Common Stock underlying the Restricted Stock Units are then registered under the Securities Act or, if not registered, the Company has determined that such issuance of the shares would be exempt from the registration requirements of the Securities Act. The issuance of shares of Common Stock must also comply with all other applicable laws and regulations governing the Award, and you shall not receive such Common Stock if the Company determines that such receipt would not be in material compliance with such laws and regulations.</w:t>
      </w:r>
    </w:p>
    <w:p>
      <w:pPr>
        <w:pStyle w:val="TextBody"/>
        <w:bidi w:val="0"/>
        <w:spacing w:lineRule="auto" w:line="288" w:before="0" w:after="240"/>
        <w:jc w:val="both"/>
        <w:rPr/>
      </w:pPr>
      <w:r>
        <w:rPr>
          <w:rFonts w:ascii="Times New Roman;serif" w:hAnsi="Times New Roman;serif"/>
          <w:b w:val="false"/>
          <w:color w:val="000000"/>
          <w:sz w:val="20"/>
        </w:rPr>
        <w:t>5.</w:t>
      </w:r>
      <w:r>
        <w:rPr>
          <w:rFonts w:ascii="Times New Roman;serif" w:hAnsi="Times New Roman;serif"/>
          <w:b/>
          <w:color w:val="000000"/>
          <w:sz w:val="20"/>
        </w:rPr>
        <w:t>Transfer Restrictions</w:t>
      </w:r>
      <w:r>
        <w:rPr>
          <w:rFonts w:ascii="Times New Roman;serif" w:hAnsi="Times New Roman;serif"/>
          <w:b w:val="false"/>
          <w:color w:val="000000"/>
          <w:sz w:val="20"/>
        </w:rPr>
        <w:t>. Prior to the time that shares of Common Stock have been delivered to you, you may not 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w:t>
      </w:r>
    </w:p>
    <w:p>
      <w:pPr>
        <w:pStyle w:val="TextBody"/>
        <w:bidi w:val="0"/>
        <w:spacing w:before="0" w:after="24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0"/>
        </w:rPr>
        <w:t>a)</w:t>
      </w:r>
      <w:r>
        <w:rPr>
          <w:rFonts w:ascii="Times New Roman;serif" w:hAnsi="Times New Roman;serif"/>
          <w:b/>
          <w:color w:val="000000"/>
          <w:sz w:val="20"/>
        </w:rPr>
        <w:t>Domestic Relations Orders</w:t>
      </w:r>
      <w:r>
        <w:rPr>
          <w:rFonts w:ascii="Times New Roman;serif" w:hAnsi="Times New Roman;serif"/>
          <w:b w:val="false"/>
          <w:color w:val="000000"/>
          <w:sz w:val="20"/>
        </w:rPr>
        <w:t>. Upon receiving written permission from the Board or its duly authorized designee, and provided that you and the designated transferee enter into transfer and other agreements required by the Company, you may transfer your right to receive the distribution of Common Stock or other consideration hereunder,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Award with the Company prior to finalizing the domestic relations order or marital settlement agreement to help ensure the required information is contained within the domestic relations order or marital settlement agreement.</w:t>
      </w:r>
    </w:p>
    <w:p>
      <w:pPr>
        <w:pStyle w:val="TextBody"/>
        <w:bidi w:val="0"/>
        <w:spacing w:lineRule="auto" w:line="240" w:before="0" w:after="240"/>
        <w:jc w:val="left"/>
        <w:rPr/>
      </w:pPr>
      <w:r>
        <w:rPr>
          <w:rFonts w:ascii="Times New Roman;serif" w:hAnsi="Times New Roman;serif"/>
          <w:b w:val="false"/>
          <w:color w:val="000000"/>
          <w:sz w:val="20"/>
        </w:rPr>
        <w:t>b)</w:t>
      </w:r>
      <w:r>
        <w:rPr>
          <w:rFonts w:ascii="Times New Roman;serif" w:hAnsi="Times New Roman;serif"/>
          <w:b/>
          <w:color w:val="000000"/>
          <w:sz w:val="20"/>
        </w:rPr>
        <w:t>Beneficiary Designation.</w:t>
      </w:r>
      <w:r>
        <w:rPr>
          <w:color w:val="000000"/>
        </w:rPr>
        <w:t xml:space="preserve"> </w:t>
      </w:r>
      <w:r>
        <w:rPr>
          <w:rFonts w:ascii="Times New Roman;serif" w:hAnsi="Times New Roman;serif"/>
          <w:b w:val="false"/>
          <w:color w:val="000000"/>
          <w:sz w:val="20"/>
        </w:rPr>
        <w:t>Upon receiving written permission from the Board or its duly authorized designee, you may, by delivering written notice to the Company, in a form approved by the Company, designate a third party who, on your death, will thereafter be entitled to receive the shares issuable in respect of your Award. In the absence of such a designation, your executor or administrator of your estate will be entitled to receive any Common Stock or other consideration that vested but was not issued before your death.</w:t>
      </w:r>
    </w:p>
    <w:p>
      <w:pPr>
        <w:pStyle w:val="TextBody"/>
        <w:bidi w:val="0"/>
        <w:spacing w:lineRule="auto" w:line="288" w:before="0" w:after="240"/>
        <w:jc w:val="both"/>
        <w:rPr/>
      </w:pPr>
      <w:r>
        <w:rPr>
          <w:rFonts w:ascii="Times New Roman;serif" w:hAnsi="Times New Roman;serif"/>
          <w:b/>
          <w:color w:val="000000"/>
          <w:sz w:val="20"/>
        </w:rPr>
        <w:t>6.</w:t>
      </w:r>
      <w:r>
        <w:rPr>
          <w:rFonts w:ascii="Times New Roman;serif" w:hAnsi="Times New Roman;serif"/>
          <w:b/>
          <w:color w:val="000000"/>
          <w:sz w:val="20"/>
        </w:rPr>
        <w:t>Date of Issuance.</w:t>
      </w:r>
    </w:p>
    <w:p>
      <w:pPr>
        <w:pStyle w:val="TextBody"/>
        <w:bidi w:val="0"/>
        <w:spacing w:lineRule="auto" w:line="240" w:before="0" w:after="240"/>
        <w:jc w:val="left"/>
        <w:rPr/>
      </w:pPr>
      <w:r>
        <w:rPr>
          <w:rFonts w:ascii="Times New Roman;serif" w:hAnsi="Times New Roman;serif"/>
          <w:b w:val="false"/>
          <w:color w:val="000000"/>
          <w:sz w:val="20"/>
        </w:rPr>
        <w:t>a)</w:t>
      </w:r>
      <w:r>
        <w:rPr>
          <w:rFonts w:ascii="Times New Roman;serif" w:hAnsi="Times New Roman;serif"/>
          <w:b w:val="false"/>
          <w:color w:val="000000"/>
          <w:sz w:val="20"/>
        </w:rPr>
        <w:t>Unless deferred in accordance with the terms of a written election form in such form as the Company may prescribe from time to time (the “</w:t>
      </w:r>
      <w:r>
        <w:rPr>
          <w:rFonts w:ascii="Times New Roman;serif" w:hAnsi="Times New Roman;serif"/>
          <w:b/>
          <w:i/>
          <w:color w:val="000000"/>
          <w:sz w:val="20"/>
        </w:rPr>
        <w:t>Deferral Election Form</w:t>
      </w:r>
      <w:r>
        <w:rPr>
          <w:color w:val="000000"/>
        </w:rPr>
        <w:t>”</w:t>
      </w:r>
      <w:r>
        <w:rPr>
          <w:rFonts w:ascii="Times New Roman;serif" w:hAnsi="Times New Roman;serif"/>
          <w:b w:val="false"/>
          <w:color w:val="000000"/>
          <w:sz w:val="20"/>
        </w:rPr>
        <w:t>), the issuance of shares in respect of the Restricted Stock Units is intended to comply with Treasury Regulations Section 1.409A-1(b)(4) and will be construed and administered in such a manner. Subject to the timely submission of a Deferral Election Form providing otherwise, in the event one or more Restricted Stock Units vest, the Company shall issue to you one (1) share of Common Stock for each Restricted Stock Unit that vests as soon as administratively possible following the applicable vesting date(s) (subject to any adjustment under Section 3 above) as indicated in the Grant Notice. The issuance date determined by this paragraph is referred to as the “</w:t>
      </w:r>
      <w:r>
        <w:rPr>
          <w:rFonts w:ascii="Times New Roman;serif" w:hAnsi="Times New Roman;serif"/>
          <w:b/>
          <w:i/>
          <w:color w:val="000000"/>
          <w:sz w:val="20"/>
        </w:rPr>
        <w:t>Original Issuance Date</w:t>
      </w:r>
      <w:r>
        <w:rPr>
          <w:color w:val="000000"/>
        </w:rPr>
        <w:t>”</w:t>
      </w:r>
      <w:r>
        <w:rPr>
          <w:rFonts w:ascii="Times New Roman;serif" w:hAnsi="Times New Roman;serif"/>
          <w:b w:val="false"/>
          <w:color w:val="000000"/>
          <w:sz w:val="20"/>
        </w:rPr>
        <w:t>.</w:t>
      </w:r>
    </w:p>
    <w:p>
      <w:pPr>
        <w:pStyle w:val="TextBody"/>
        <w:bidi w:val="0"/>
        <w:spacing w:lineRule="auto" w:line="240" w:before="0" w:after="24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If the Original Issuance Date falls on a date that is not a business day, delivery shall instead occur on the next following business day. </w:t>
      </w:r>
    </w:p>
    <w:p>
      <w:pPr>
        <w:pStyle w:val="TextBody"/>
        <w:bidi w:val="0"/>
        <w:spacing w:lineRule="auto" w:line="240" w:before="0" w:after="240"/>
        <w:jc w:val="left"/>
        <w:rPr/>
      </w:pPr>
      <w:r>
        <w:rPr>
          <w:rFonts w:ascii="Times New Roman;serif" w:hAnsi="Times New Roman;serif"/>
          <w:b w:val="false"/>
          <w:color w:val="000000"/>
          <w:sz w:val="20"/>
        </w:rPr>
        <w:t>c)</w:t>
      </w:r>
      <w:r>
        <w:rPr>
          <w:rFonts w:ascii="Times New Roman;serif" w:hAnsi="Times New Roman;serif"/>
          <w:b w:val="false"/>
          <w:color w:val="000000"/>
          <w:sz w:val="20"/>
        </w:rPr>
        <w:t>The form of delivery (e.g., a stock certificate or electronic entry evidencing such shares) shall be determined by the Company.</w:t>
      </w:r>
    </w:p>
    <w:p>
      <w:pPr>
        <w:pStyle w:val="TextBody"/>
        <w:bidi w:val="0"/>
        <w:spacing w:lineRule="auto" w:line="288" w:before="0" w:after="240"/>
        <w:jc w:val="both"/>
        <w:rPr/>
      </w:pPr>
      <w:r>
        <w:rPr>
          <w:rFonts w:ascii="Times New Roman;serif" w:hAnsi="Times New Roman;serif"/>
          <w:b w:val="false"/>
          <w:color w:val="000000"/>
          <w:sz w:val="20"/>
        </w:rPr>
        <w:t>7.</w:t>
      </w:r>
      <w:r>
        <w:rPr>
          <w:rFonts w:ascii="Times New Roman;serif" w:hAnsi="Times New Roman;serif"/>
          <w:b/>
          <w:color w:val="000000"/>
          <w:sz w:val="20"/>
        </w:rPr>
        <w:t>Dividends</w:t>
      </w:r>
      <w:r>
        <w:rPr>
          <w:rFonts w:ascii="Times New Roman;serif" w:hAnsi="Times New Roman;serif"/>
          <w:b w:val="false"/>
          <w:color w:val="000000"/>
          <w:sz w:val="20"/>
        </w:rPr>
        <w:t>. You shall receive no benefit or adjustment to your Award with respect to any cash dividend, stock dividend or other distribution that does not result from a Capitalization Adjustment.</w:t>
      </w:r>
    </w:p>
    <w:p>
      <w:pPr>
        <w:pStyle w:val="TextBody"/>
        <w:bidi w:val="0"/>
        <w:spacing w:lineRule="auto" w:line="288" w:before="0" w:after="240"/>
        <w:jc w:val="both"/>
        <w:rPr/>
      </w:pPr>
      <w:r>
        <w:rPr>
          <w:rFonts w:ascii="Times New Roman;serif" w:hAnsi="Times New Roman;serif"/>
          <w:b w:val="false"/>
          <w:color w:val="000000"/>
          <w:sz w:val="20"/>
        </w:rPr>
        <w:t>8.</w:t>
      </w:r>
      <w:r>
        <w:rPr>
          <w:rFonts w:ascii="Times New Roman;serif" w:hAnsi="Times New Roman;serif"/>
          <w:b/>
          <w:color w:val="000000"/>
          <w:sz w:val="20"/>
        </w:rPr>
        <w:t>Restrictive Legends</w:t>
      </w:r>
      <w:r>
        <w:rPr>
          <w:rFonts w:ascii="Times New Roman;serif" w:hAnsi="Times New Roman;serif"/>
          <w:b w:val="false"/>
          <w:color w:val="000000"/>
          <w:sz w:val="20"/>
        </w:rPr>
        <w:t>. The shares of Common Stock issued under your Award shall be endorsed with appropriate legends as determined by the Company.</w:t>
      </w:r>
    </w:p>
    <w:p>
      <w:pPr>
        <w:pStyle w:val="TextBody"/>
        <w:bidi w:val="0"/>
        <w:spacing w:lineRule="auto" w:line="288" w:before="0" w:after="240"/>
        <w:jc w:val="both"/>
        <w:rPr/>
      </w:pPr>
      <w:r>
        <w:rPr>
          <w:rFonts w:ascii="Times New Roman;serif" w:hAnsi="Times New Roman;serif"/>
          <w:b w:val="false"/>
          <w:color w:val="000000"/>
          <w:sz w:val="20"/>
        </w:rPr>
        <w:t>9.</w:t>
      </w:r>
      <w:r>
        <w:rPr>
          <w:rFonts w:ascii="Times New Roman;serif" w:hAnsi="Times New Roman;serif"/>
          <w:b/>
          <w:color w:val="000000"/>
          <w:sz w:val="20"/>
        </w:rPr>
        <w:t>Award Not a Service Contract</w:t>
      </w:r>
      <w:r>
        <w:rPr>
          <w:rFonts w:ascii="Times New Roman;serif" w:hAnsi="Times New Roman;serif"/>
          <w:b w:val="false"/>
          <w:color w:val="000000"/>
          <w:sz w:val="20"/>
        </w:rPr>
        <w:t>. This Agreement is not an employment or service contract, and nothing in this Agreement will be deemed to create in any way whatsoever any obligation on your part to continue in the service of the Company or an Affiliate, or of the Company or an Affiliate to continue your service. In addition, nothing in this Agreement will obligate the Company or an Affiliate, their respective stockholders, boards of directors, officers or employees to continue any relationship that you might have as a Director of or Consultant for the Company or an Affiliate.</w:t>
      </w:r>
    </w:p>
    <w:p>
      <w:pPr>
        <w:pStyle w:val="TextBody"/>
        <w:bidi w:val="0"/>
        <w:spacing w:lineRule="auto" w:line="288" w:before="0" w:after="240"/>
        <w:jc w:val="both"/>
        <w:rPr/>
      </w:pPr>
      <w:r>
        <w:rPr>
          <w:rFonts w:ascii="Times New Roman;serif" w:hAnsi="Times New Roman;serif"/>
          <w:b/>
          <w:color w:val="000000"/>
          <w:sz w:val="20"/>
        </w:rPr>
        <w:t>10.</w:t>
      </w:r>
      <w:r>
        <w:rPr>
          <w:rFonts w:ascii="Times New Roman;serif" w:hAnsi="Times New Roman;serif"/>
          <w:b/>
          <w:color w:val="000000"/>
          <w:sz w:val="20"/>
        </w:rPr>
        <w:t>Withholding Obligations.</w:t>
      </w:r>
    </w:p>
    <w:p>
      <w:pPr>
        <w:pStyle w:val="TextBody"/>
        <w:bidi w:val="0"/>
        <w:spacing w:lineRule="auto" w:line="240" w:before="0" w:after="240"/>
        <w:jc w:val="left"/>
        <w:rPr/>
      </w:pPr>
      <w:r>
        <w:rPr>
          <w:rFonts w:ascii="Times New Roman;serif" w:hAnsi="Times New Roman;serif"/>
          <w:b w:val="false"/>
          <w:color w:val="000000"/>
          <w:sz w:val="20"/>
        </w:rPr>
        <w:t>a)</w:t>
      </w:r>
      <w:r>
        <w:rPr>
          <w:rFonts w:ascii="Times New Roman;serif" w:hAnsi="Times New Roman;serif"/>
          <w:b w:val="false"/>
          <w:color w:val="000000"/>
          <w:sz w:val="20"/>
        </w:rPr>
        <w:t>On or before the time you receive a distribution of the shares of Common Stock underlying your Award, and at any other time as reasonably requested by the Company in accordance with applicable tax laws, you hereby authorize any required withholding from the shares of Common Stock issuable to you and/or otherwise agree to make adequate provision in cash for any sums required to satisfy the federal, state, local and foreign tax withholding obligations of the Company or any Affiliate that arise in connection with your Award (the “</w:t>
      </w:r>
      <w:r>
        <w:rPr>
          <w:rFonts w:ascii="Times New Roman;serif" w:hAnsi="Times New Roman;serif"/>
          <w:b/>
          <w:i/>
          <w:color w:val="000000"/>
          <w:sz w:val="20"/>
        </w:rPr>
        <w:t>Withholding Taxes</w:t>
      </w:r>
      <w:r>
        <w:rPr>
          <w:color w:val="000000"/>
        </w:rPr>
        <w:t>”</w:t>
      </w:r>
      <w:r>
        <w:rPr>
          <w:rFonts w:ascii="Times New Roman;serif" w:hAnsi="Times New Roman;serif"/>
          <w:b w:val="false"/>
          <w:color w:val="000000"/>
          <w:sz w:val="20"/>
        </w:rPr>
        <w:t>). Additionally, the Company or any Affiliate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(iii) permitting or requiring you to enter into a “same day sale” commitment, if applicable, with a broker</w:t>
        <w:softHyphen/>
        <w:t>dealer that is a member of the Financial Industry Regulatory Authority (a “</w:t>
      </w:r>
      <w:r>
        <w:rPr>
          <w:rFonts w:ascii="Times New Roman;serif" w:hAnsi="Times New Roman;serif"/>
          <w:b/>
          <w:i/>
          <w:color w:val="000000"/>
          <w:sz w:val="20"/>
        </w:rPr>
        <w:t>FINRA Dealer</w:t>
      </w:r>
      <w:r>
        <w:rPr>
          <w:color w:val="000000"/>
        </w:rPr>
        <w:t>”</w:t>
      </w:r>
      <w:r>
        <w:rPr>
          <w:rFonts w:ascii="Times New Roman;serif" w:hAnsi="Times New Roman;serif"/>
          <w:b w:val="false"/>
          <w:color w:val="000000"/>
          <w:sz w:val="20"/>
        </w:rPr>
        <w:t xml:space="preserve">) whereby you irrevocably elect to sell a portion of the shares of Common Stock to be delivered in connection with your Restricted Stock Units to satisfy the Withholding Taxes and whereby the FINRA Dealer irrevocably commits to forward the proceeds necessary to satisfy the Withholding Taxes directly to the Company and/or its Affiliates; or (iv) </w:t>
      </w:r>
    </w:p>
    <w:p>
      <w:pPr>
        <w:pStyle w:val="TextBody"/>
        <w:bidi w:val="0"/>
        <w:spacing w:before="0" w:after="2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withholding shares of Common Stock from the shares of Common Stock issued or otherwise issuable to you in connection with the Award with a Fair Market Value (measured as of the date shares of Common Stock are issued to pursuant to Section 6) equal to the amount of such Withholding Taxes; provided, however, that the number of such shares of Common Stock so withheld will not exceed the amount necessary to satisfy the Company’s required tax withholding obligations using the maximum statutory withholding rates for federal, state, local and foreign tax purposes (or such lesser amount as may be necessary to avoid classification of the Award as a liability for financial accounting purposes); and provided, further, that to the extent necessary to qualify for an exemption from application of Section 16(b) of the Exchange Act, if applicable, such share withholding procedure will be subject to the express prior approval of the Company’s Compensation Committee.</w:t>
      </w:r>
    </w:p>
    <w:p>
      <w:pPr>
        <w:pStyle w:val="TextBody"/>
        <w:bidi w:val="0"/>
        <w:spacing w:lineRule="auto" w:line="240" w:before="0" w:after="240"/>
        <w:jc w:val="both"/>
        <w:rPr/>
      </w:pPr>
      <w:r>
        <w:rPr>
          <w:rFonts w:ascii="Times New Roman;serif" w:hAnsi="Times New Roman;serif"/>
          <w:b w:val="false"/>
          <w:color w:val="000000"/>
          <w:sz w:val="20"/>
        </w:rPr>
        <w:t>b)</w:t>
      </w:r>
      <w:r>
        <w:rPr>
          <w:rFonts w:ascii="Times New Roman;serif" w:hAnsi="Times New Roman;serif"/>
          <w:b w:val="false"/>
          <w:color w:val="000000"/>
          <w:sz w:val="20"/>
        </w:rPr>
        <w:t>Unless the tax withholding obligations of the Company and/or any Affiliate are satisfied, the Company shall have no obligation to deliver to you any shares of Common Stock.</w:t>
      </w:r>
    </w:p>
    <w:p>
      <w:pPr>
        <w:pStyle w:val="TextBody"/>
        <w:bidi w:val="0"/>
        <w:spacing w:lineRule="auto" w:line="240" w:before="0" w:after="240"/>
        <w:jc w:val="both"/>
        <w:rPr/>
      </w:pPr>
      <w:r>
        <w:rPr>
          <w:rFonts w:ascii="Times New Roman;serif" w:hAnsi="Times New Roman;serif"/>
          <w:b w:val="false"/>
          <w:color w:val="000000"/>
          <w:sz w:val="20"/>
        </w:rPr>
        <w:t>c)</w:t>
      </w:r>
      <w:r>
        <w:rPr>
          <w:rFonts w:ascii="Times New Roman;serif" w:hAnsi="Times New Roman;serif"/>
          <w:b w:val="false"/>
          <w:color w:val="000000"/>
          <w:sz w:val="20"/>
        </w:rPr>
        <w:t>In the event the Company’s obligation to withhold arises prior to the delivery to you of shares of Common Stock or it is determined after the delivery of shares of Common Stock to you that the amount of the Company’s withholding obligation was greater than the amount withheld by the Company, you agree to indemnify and hold the Company harmless from any failure by the Company to withhold the proper amount.</w:t>
      </w:r>
    </w:p>
    <w:p>
      <w:pPr>
        <w:pStyle w:val="TextBody"/>
        <w:bidi w:val="0"/>
        <w:spacing w:lineRule="auto" w:line="288" w:before="0" w:after="240"/>
        <w:jc w:val="both"/>
        <w:rPr/>
      </w:pPr>
      <w:r>
        <w:rPr>
          <w:rFonts w:ascii="Times New Roman;serif" w:hAnsi="Times New Roman;serif"/>
          <w:b w:val="false"/>
          <w:color w:val="000000"/>
          <w:sz w:val="20"/>
        </w:rPr>
        <w:t>11.</w:t>
      </w:r>
      <w:r>
        <w:rPr>
          <w:rFonts w:ascii="Times New Roman;serif" w:hAnsi="Times New Roman;serif"/>
          <w:b/>
          <w:color w:val="000000"/>
          <w:sz w:val="20"/>
        </w:rPr>
        <w:t>Tax Consequences</w:t>
      </w:r>
      <w:r>
        <w:rPr>
          <w:rFonts w:ascii="Times New Roman;serif" w:hAnsi="Times New Roman;serif"/>
          <w:b w:val="false"/>
          <w:color w:val="000000"/>
          <w:sz w:val="20"/>
        </w:rPr>
        <w:t>. You hereby agree that the Company does not have a duty to design or administer the Plan or its other compensation programs in a manner that minimizes your tax liabilities. You will not make any claim against the Company, or any of its Officers, Directors, Employees or Affiliates related to tax liabilities arising from your Award or your other compensation.</w:t>
      </w:r>
    </w:p>
    <w:p>
      <w:pPr>
        <w:pStyle w:val="TextBody"/>
        <w:bidi w:val="0"/>
        <w:spacing w:lineRule="auto" w:line="288" w:before="0" w:after="240"/>
        <w:jc w:val="both"/>
        <w:rPr/>
      </w:pPr>
      <w:r>
        <w:rPr>
          <w:rFonts w:ascii="Times New Roman;serif" w:hAnsi="Times New Roman;serif"/>
          <w:b w:val="false"/>
          <w:color w:val="000000"/>
          <w:sz w:val="20"/>
        </w:rPr>
        <w:t>12.</w:t>
      </w:r>
      <w:r>
        <w:rPr>
          <w:rFonts w:ascii="Times New Roman;serif" w:hAnsi="Times New Roman;serif"/>
          <w:b/>
          <w:color w:val="000000"/>
          <w:sz w:val="20"/>
        </w:rPr>
        <w:t>Notices</w:t>
      </w:r>
      <w:r>
        <w:rPr>
          <w:rFonts w:ascii="Times New Roman;serif" w:hAnsi="Times New Roman;serif"/>
          <w:b w:val="false"/>
          <w:color w:val="000000"/>
          <w:sz w:val="20"/>
        </w:rPr>
        <w:t>. Any notices provided for in your Award or the Plan will be given in writing (including electronically) 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pStyle w:val="TextBody"/>
        <w:bidi w:val="0"/>
        <w:spacing w:lineRule="auto" w:line="288" w:before="0" w:after="240"/>
        <w:jc w:val="both"/>
        <w:rPr/>
      </w:pPr>
      <w:r>
        <w:rPr>
          <w:rFonts w:ascii="Times New Roman;serif" w:hAnsi="Times New Roman;serif"/>
          <w:b w:val="false"/>
          <w:color w:val="000000"/>
          <w:sz w:val="20"/>
        </w:rPr>
        <w:t>13.</w:t>
      </w:r>
      <w:r>
        <w:rPr>
          <w:rFonts w:ascii="Times New Roman;serif" w:hAnsi="Times New Roman;serif"/>
          <w:b/>
          <w:color w:val="000000"/>
          <w:sz w:val="20"/>
        </w:rPr>
        <w:t>Unsecured Obligation</w:t>
      </w:r>
      <w:r>
        <w:rPr>
          <w:rFonts w:ascii="Times New Roman;serif" w:hAnsi="Times New Roman;serif"/>
          <w:b w:val="false"/>
          <w:color w:val="000000"/>
          <w:sz w:val="20"/>
        </w:rPr>
        <w:t>. Your Award is unfunded, and as a holder of a vested Award, you shall be considered a general, unsecured creditor of the Company with respect to the Company’s obligation, if any, to issue shares or other property pursuant to this Agreement.</w:t>
      </w:r>
    </w:p>
    <w:p>
      <w:pPr>
        <w:pStyle w:val="TextBody"/>
        <w:bidi w:val="0"/>
        <w:spacing w:lineRule="auto" w:line="288" w:before="0" w:after="240"/>
        <w:jc w:val="both"/>
        <w:rPr/>
      </w:pPr>
      <w:r>
        <w:rPr>
          <w:rFonts w:ascii="Times New Roman;serif" w:hAnsi="Times New Roman;serif"/>
          <w:b w:val="false"/>
          <w:color w:val="000000"/>
          <w:sz w:val="20"/>
        </w:rPr>
        <w:t>14.</w:t>
      </w:r>
      <w:r>
        <w:rPr>
          <w:rFonts w:ascii="Times New Roman;serif" w:hAnsi="Times New Roman;serif"/>
          <w:b/>
          <w:color w:val="000000"/>
          <w:sz w:val="20"/>
        </w:rPr>
        <w:t>Governing Plan Document</w:t>
      </w:r>
      <w:r>
        <w:rPr>
          <w:rFonts w:ascii="Times New Roman;serif" w:hAnsi="Times New Roman;serif"/>
          <w:b w:val="false"/>
          <w:color w:val="000000"/>
          <w:sz w:val="20"/>
        </w:rPr>
        <w:t>. Your Award is subject to all the provisions of the Plan, the provisions of which are hereby made a part of your Award, and is further subject to all interpretations, amendments, rules and regulations which may from time to time be promulgated and adopted pursuant to the Plan. If there is any conflict between the provisions of your Award and those of the Plan, the provisions of the Plan will control. In addition, your Award (and any compensation paid or shares issued under your Award) is subject to recoupment in accordance with The Dodd–Frank Wall Street Reform and Consumer Protection Act and any implementing regulations thereunder, the HealthEquity, Inc. Clawback Policy, or any other clawback policy adopted by the Company, and any compensation recovery policy otherwise required by applicable law.</w:t>
      </w:r>
    </w:p>
    <w:p>
      <w:pPr>
        <w:pStyle w:val="TextBody"/>
        <w:bidi w:val="0"/>
        <w:spacing w:lineRule="auto" w:line="288" w:before="0" w:after="240"/>
        <w:jc w:val="both"/>
        <w:rPr/>
      </w:pPr>
      <w:r>
        <w:rPr>
          <w:rFonts w:ascii="Times New Roman;serif" w:hAnsi="Times New Roman;serif"/>
          <w:b w:val="false"/>
          <w:color w:val="000000"/>
          <w:sz w:val="20"/>
        </w:rPr>
        <w:t>15.</w:t>
      </w:r>
      <w:r>
        <w:rPr>
          <w:rFonts w:ascii="Times New Roman;serif" w:hAnsi="Times New Roman;serif"/>
          <w:b/>
          <w:color w:val="000000"/>
          <w:sz w:val="20"/>
        </w:rPr>
        <w:t>Other Documents</w:t>
      </w:r>
      <w:r>
        <w:rPr>
          <w:rFonts w:ascii="Times New Roman;serif" w:hAnsi="Times New Roman;serif"/>
          <w:b w:val="false"/>
          <w:color w:val="000000"/>
          <w:sz w:val="20"/>
        </w:rPr>
        <w:t>. You hereby acknowledge receipt of and the right to receive a document providing the information required by Rule 428(b)(1) promulgated under the Securities Act, which includes the Plan prospectus. In addition, you acknowledge receipt of the Company’s policy permitting certain individuals to sell shares only during certain “open window” periods under, and as otherwise permitted by, the Company’s insider trading policy, in effect from time to time.</w:t>
      </w:r>
    </w:p>
    <w:p>
      <w:pPr>
        <w:pStyle w:val="TextBody"/>
        <w:bidi w:val="0"/>
        <w:spacing w:lineRule="auto" w:line="288" w:before="0" w:after="240"/>
        <w:jc w:val="both"/>
        <w:rPr/>
      </w:pPr>
      <w:r>
        <w:rPr>
          <w:rFonts w:ascii="Times New Roman;serif" w:hAnsi="Times New Roman;serif"/>
          <w:b w:val="false"/>
          <w:color w:val="000000"/>
          <w:sz w:val="20"/>
        </w:rPr>
        <w:t>16.</w:t>
      </w:r>
      <w:r>
        <w:rPr>
          <w:rFonts w:ascii="Times New Roman;serif" w:hAnsi="Times New Roman;serif"/>
          <w:b/>
          <w:color w:val="000000"/>
          <w:sz w:val="20"/>
        </w:rPr>
        <w:t>Effect On Other Employee Benefit Plans</w:t>
      </w:r>
      <w:r>
        <w:rPr>
          <w:rFonts w:ascii="Times New Roman;serif" w:hAnsi="Times New Roman;serif"/>
          <w:b w:val="false"/>
          <w:color w:val="000000"/>
          <w:sz w:val="20"/>
        </w:rPr>
        <w:t>. The value of this Award will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17.</w:t>
      </w:r>
      <w:r>
        <w:rPr>
          <w:rFonts w:ascii="Times New Roman;serif" w:hAnsi="Times New Roman;serif"/>
          <w:b/>
          <w:color w:val="000000"/>
          <w:sz w:val="20"/>
        </w:rPr>
        <w:t>Voting Rights</w:t>
      </w:r>
      <w:r>
        <w:rPr>
          <w:rFonts w:ascii="Times New Roman;serif" w:hAnsi="Times New Roman;serif"/>
          <w:b w:val="false"/>
          <w:color w:val="000000"/>
          <w:sz w:val="20"/>
        </w:rPr>
        <w:t xml:space="preserve">. You will not have voting or any other rights as a stockholder of the Company with respect to the shares of Common Stock to be issued pursuant to this Award until such shares are issued to you. Upon such issuance, you will obtain full voting and other rights as a stockholder of the Company. Nothing contained in this Award, and no action taken pursuant to its provisions, will create or be construed to create a trust of any kind or a fiduciary relationship between you and the Company or any other person. </w:t>
      </w:r>
    </w:p>
    <w:p>
      <w:pPr>
        <w:pStyle w:val="TextBody"/>
        <w:bidi w:val="0"/>
        <w:spacing w:lineRule="auto" w:line="288" w:before="0" w:after="240"/>
        <w:jc w:val="both"/>
        <w:rPr/>
      </w:pPr>
      <w:r>
        <w:rPr>
          <w:rFonts w:ascii="Times New Roman;serif" w:hAnsi="Times New Roman;serif"/>
          <w:b w:val="false"/>
          <w:color w:val="000000"/>
          <w:sz w:val="20"/>
        </w:rPr>
        <w:t>18.</w:t>
      </w:r>
      <w:r>
        <w:rPr>
          <w:rFonts w:ascii="Times New Roman;serif" w:hAnsi="Times New Roman;serif"/>
          <w:b/>
          <w:color w:val="000000"/>
          <w:sz w:val="20"/>
        </w:rPr>
        <w:t>Severability</w:t>
      </w:r>
      <w:r>
        <w:rPr>
          <w:rFonts w:ascii="Times New Roman;serif" w:hAnsi="Times New Roman;serif"/>
          <w:b w:val="false"/>
          <w:color w:val="000000"/>
          <w:sz w:val="20"/>
        </w:rPr>
        <w:t>. If all or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lineRule="auto" w:line="288" w:before="0" w:after="240"/>
        <w:jc w:val="both"/>
        <w:rPr/>
      </w:pPr>
      <w:r>
        <w:rPr>
          <w:rFonts w:ascii="Times New Roman;serif" w:hAnsi="Times New Roman;serif"/>
          <w:b/>
          <w:color w:val="000000"/>
          <w:sz w:val="20"/>
        </w:rPr>
        <w:t>19.</w:t>
      </w:r>
      <w:r>
        <w:rPr>
          <w:rFonts w:ascii="Times New Roman;serif" w:hAnsi="Times New Roman;serif"/>
          <w:b/>
          <w:color w:val="000000"/>
          <w:sz w:val="20"/>
        </w:rPr>
        <w:t>Miscellaneous.</w:t>
      </w:r>
    </w:p>
    <w:p>
      <w:pPr>
        <w:pStyle w:val="TextBody"/>
        <w:bidi w:val="0"/>
        <w:spacing w:lineRule="auto" w:line="240" w:before="0" w:after="240"/>
        <w:jc w:val="both"/>
        <w:rPr/>
      </w:pPr>
      <w:r>
        <w:rPr>
          <w:rFonts w:ascii="Times New Roman;serif" w:hAnsi="Times New Roman;serif"/>
          <w:b w:val="false"/>
          <w:color w:val="000000"/>
          <w:sz w:val="20"/>
        </w:rPr>
        <w:t>a)</w:t>
      </w:r>
      <w:r>
        <w:rPr>
          <w:rFonts w:ascii="Times New Roman;serif" w:hAnsi="Times New Roman;serif"/>
          <w:b w:val="false"/>
          <w:color w:val="000000"/>
          <w:sz w:val="20"/>
        </w:rPr>
        <w:t>The rights and obligations of the Company under your Award will be transferable to any one or more persons or entities, and all covenants and agreements hereunder will inure to the benefit of, and be enforceable by, the Company’s successors and assigns.</w:t>
      </w:r>
    </w:p>
    <w:p>
      <w:pPr>
        <w:pStyle w:val="TextBody"/>
        <w:bidi w:val="0"/>
        <w:spacing w:lineRule="auto" w:line="240" w:before="0" w:after="240"/>
        <w:jc w:val="both"/>
        <w:rPr/>
      </w:pPr>
      <w:r>
        <w:rPr>
          <w:rFonts w:ascii="Times New Roman;serif" w:hAnsi="Times New Roman;serif"/>
          <w:b w:val="false"/>
          <w:color w:val="000000"/>
          <w:sz w:val="20"/>
        </w:rPr>
        <w:t>b)</w:t>
      </w:r>
      <w:r>
        <w:rPr>
          <w:rFonts w:ascii="Times New Roman;serif" w:hAnsi="Times New Roman;serif"/>
          <w:b w:val="false"/>
          <w:color w:val="000000"/>
          <w:sz w:val="20"/>
        </w:rPr>
        <w:t>You agree upon request to execute any further documents or instruments necessary or desirable in the sole determination of the Company to carry out the purposes or intent of your Award.</w:t>
      </w:r>
    </w:p>
    <w:p>
      <w:pPr>
        <w:pStyle w:val="TextBody"/>
        <w:bidi w:val="0"/>
        <w:spacing w:lineRule="auto" w:line="240" w:before="0" w:after="240"/>
        <w:jc w:val="both"/>
        <w:rPr/>
      </w:pPr>
      <w:r>
        <w:rPr>
          <w:rFonts w:ascii="Times New Roman;serif" w:hAnsi="Times New Roman;serif"/>
          <w:b w:val="false"/>
          <w:color w:val="000000"/>
          <w:sz w:val="20"/>
        </w:rPr>
        <w:t>c)</w:t>
      </w:r>
      <w:r>
        <w:rPr>
          <w:rFonts w:ascii="Times New Roman;serif" w:hAnsi="Times New Roman;serif"/>
          <w:b w:val="false"/>
          <w:color w:val="000000"/>
          <w:sz w:val="20"/>
        </w:rPr>
        <w:t>You acknowledge and agree that you have reviewed your Award in its entirety, have had an opportunity to obtain the advice of counsel prior to executing and accepting your Award and fully understand all provisions of your Award.</w:t>
      </w:r>
    </w:p>
    <w:p>
      <w:pPr>
        <w:pStyle w:val="TextBody"/>
        <w:bidi w:val="0"/>
        <w:spacing w:lineRule="auto" w:line="240" w:before="0" w:after="240"/>
        <w:jc w:val="both"/>
        <w:rPr/>
      </w:pPr>
      <w:r>
        <w:rPr>
          <w:rFonts w:ascii="Times New Roman;serif" w:hAnsi="Times New Roman;serif"/>
          <w:b w:val="false"/>
          <w:color w:val="000000"/>
          <w:sz w:val="20"/>
        </w:rPr>
        <w:t>d)</w:t>
      </w:r>
      <w:r>
        <w:rPr>
          <w:rFonts w:ascii="Times New Roman;serif" w:hAnsi="Times New Roman;serif"/>
          <w:b w:val="false"/>
          <w:color w:val="000000"/>
          <w:sz w:val="20"/>
        </w:rPr>
        <w:t>This Agreement will be subject to all applicable laws, rules, and regulations, and to such approvals by any governmental agencies or national securities exchanges as may be required.</w:t>
      </w:r>
    </w:p>
    <w:p>
      <w:pPr>
        <w:pStyle w:val="TextBody"/>
        <w:bidi w:val="0"/>
        <w:spacing w:lineRule="auto" w:line="240" w:before="0" w:after="240"/>
        <w:jc w:val="both"/>
        <w:rPr/>
      </w:pPr>
      <w:r>
        <w:rPr>
          <w:rFonts w:ascii="Times New Roman;serif" w:hAnsi="Times New Roman;serif"/>
          <w:b w:val="false"/>
          <w:color w:val="000000"/>
          <w:sz w:val="20"/>
        </w:rPr>
        <w:t>e)</w:t>
      </w:r>
      <w:r>
        <w:rPr>
          <w:rFonts w:ascii="Times New Roman;serif" w:hAnsi="Times New Roman;serif"/>
          <w:b w:val="false"/>
          <w:color w:val="000000"/>
          <w:sz w:val="20"/>
        </w:rPr>
        <w:t>All obligations of the Company under the Plan and this Agreement will be binding on any successor to the Company, whether the existence of such successor is the result of a direct or indirect purchase, merger, consolidation, or otherwise, of all or substantially all of the business and/or assets of the Company.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Non-Employee Director Restricted Stock Unit Award Agreement will be deemed to be signed by you upon the signing by you of the Restricted Stock Unit Notice to which it is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Attachment II</w:t>
      </w:r>
    </w:p>
    <w:p>
      <w:pPr>
        <w:pStyle w:val="TextBody"/>
        <w:bidi w:val="0"/>
        <w:spacing w:lineRule="auto" w:line="300" w:before="0" w:after="160"/>
        <w:jc w:val="center"/>
        <w:rPr/>
      </w:pPr>
      <w:r>
        <w:rPr>
          <w:rFonts w:ascii="Times New Roman;serif" w:hAnsi="Times New Roman;serif"/>
          <w:b/>
          <w:color w:val="000000"/>
          <w:sz w:val="20"/>
        </w:rPr>
        <w:t>Equity Incentive Plan</w:t>
      </w:r>
      <w:r>
        <w:rPr>
          <w:rFonts w:ascii="Times New Roman;serif" w:hAnsi="Times New Roman;serif"/>
          <w:b w:val="false"/>
          <w:color w:val="000000"/>
          <w:sz w:val="20"/>
        </w:rPr>
        <w:br/>
        <w:t>(see attached)</w:t>
      </w: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HEALTHEQUITY, INC.</w:t>
        <w:br/>
        <w:t>NON-EMPLOYEE DIRECTOR RESTRICTED STOCK UNIT NOTICE</w:t>
        <w:br/>
        <w:t>(AMENDED AND RESTATED 2024 EQUITY INCENTIVE PLAN)</w:t>
      </w:r>
    </w:p>
    <w:p>
      <w:pPr>
        <w:pStyle w:val="TextBody"/>
        <w:bidi w:val="0"/>
        <w:spacing w:lineRule="auto" w:line="288" w:before="0" w:after="240"/>
        <w:jc w:val="both"/>
        <w:rPr/>
      </w:pPr>
      <w:r>
        <w:rPr>
          <w:rFonts w:ascii="Times New Roman;serif" w:hAnsi="Times New Roman;serif"/>
          <w:b w:val="false"/>
          <w:color w:val="000000"/>
          <w:sz w:val="20"/>
        </w:rPr>
        <w:t>HealthEquity,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pursuant to its Amended and Restated 2024 Equity Incentive Plan, as amended and restated from time to time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hereby grants to Participant a Restricted Stock Unit Award for the number of shares of the Company’s Common Stock set forth below (the “</w:t>
      </w:r>
      <w:r>
        <w:rPr>
          <w:rFonts w:ascii="Times New Roman;serif" w:hAnsi="Times New Roman;serif"/>
          <w:b/>
          <w:i/>
          <w:color w:val="000000"/>
          <w:sz w:val="20"/>
        </w:rPr>
        <w:t>Restricted Stock Units</w:t>
      </w:r>
      <w:r>
        <w:rPr>
          <w:color w:val="000000"/>
        </w:rPr>
        <w:t>”</w:t>
      </w:r>
      <w:r>
        <w:rPr>
          <w:rFonts w:ascii="Times New Roman;serif" w:hAnsi="Times New Roman;serif"/>
          <w:b w:val="false"/>
          <w:color w:val="000000"/>
          <w:sz w:val="20"/>
        </w:rPr>
        <w:t>). The Restricted Stock Unit Award is subject to all of the terms and conditions as set forth in this Non-Employee Director Restricted Stock Unit Notice (this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in the Non-Employee Director Restricted Stock Unit Award Agreement (attached hereto as Attachment I) and the Plan (attached hereto as Attachment II), both of which are incorporated herein in their entirety. Capitalized terms not explicitly defined herein but defined in the Plan or the Non-Employee Director Restricted Stock Unit Award Agreement will have the same definitions as in the Plan or the Non-Employee Director Restricted Stock Unit Award Agreement. If there is any conflict between the terms in this Grant Notice and the Plan, the terms of the Plan will control.</w:t>
      </w:r>
    </w:p>
    <w:tbl>
      <w:tblPr>
        <w:tblW w:w="7829" w:type="dxa"/>
        <w:jc w:val="left"/>
        <w:tblInd w:w="0" w:type="dxa"/>
        <w:tblLayout w:type="fixed"/>
        <w:tblCellMar>
          <w:top w:w="28" w:type="dxa"/>
          <w:left w:w="28" w:type="dxa"/>
          <w:bottom w:w="28" w:type="dxa"/>
          <w:right w:w="28" w:type="dxa"/>
        </w:tblCellMar>
      </w:tblPr>
      <w:tblGrid>
        <w:gridCol w:w="1074"/>
        <w:gridCol w:w="945"/>
        <w:gridCol w:w="951"/>
        <w:gridCol w:w="1421"/>
        <w:gridCol w:w="1421"/>
        <w:gridCol w:w="2017"/>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Name of Participant:</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%%FIRST_NAME_MIDDLE_NAME_LAST_NAME%-%</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Date of Grant:</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%%OPTION_DATE,'Month DD, YYYY'%-%</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Vesting Commencement Date:</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%%OPTION_DATE,'Month DD, YYYY'%-%</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Number of Restricted Stock Units:</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%%TOTAL_SHARES_GRANTED,'999,999,999'%-%</w:t>
            </w:r>
          </w:p>
        </w:tc>
      </w:tr>
    </w:tbl>
    <w:p>
      <w:pPr>
        <w:pStyle w:val="TextBody"/>
        <w:bidi w:val="0"/>
        <w:spacing w:before="0" w:after="240"/>
        <w:ind w:left="0" w:right="0" w:hanging="2880"/>
        <w:jc w:val="both"/>
        <w:rPr/>
      </w:pPr>
      <w:r>
        <w:rPr/>
      </w:r>
    </w:p>
    <w:p>
      <w:pPr>
        <w:pStyle w:val="TextBody"/>
        <w:bidi w:val="0"/>
        <w:spacing w:lineRule="auto" w:line="288" w:before="0" w:after="240"/>
        <w:ind w:left="0" w:right="0" w:hanging="2880"/>
        <w:jc w:val="both"/>
        <w:rPr/>
      </w:pPr>
      <w:r>
        <w:rPr>
          <w:rFonts w:ascii="Times New Roman;serif" w:hAnsi="Times New Roman;serif"/>
          <w:b/>
          <w:color w:val="000000"/>
          <w:sz w:val="20"/>
        </w:rPr>
        <w:t>Vesting Schedule:    </w:t>
      </w:r>
      <w:r>
        <w:rPr>
          <w:rFonts w:ascii="Times New Roman;serif" w:hAnsi="Times New Roman;serif"/>
          <w:b w:val="false"/>
          <w:color w:val="000000"/>
          <w:sz w:val="20"/>
        </w:rPr>
        <w:t>One hundred percent (100%) of the shares subject to the Award shall vest upon the earlier of either the date of the Company’s first annual meeting of stockholders immediately following the Date of Grant (so long as such next annual meeting of stockholders is at least 50 weeks after the immediately preceding year’s annual meeting of stockholders) or the one-year anniversary of the Date of Grant.</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Treatment on a Change in </w:t>
      </w:r>
    </w:p>
    <w:p>
      <w:pPr>
        <w:pStyle w:val="TextBody"/>
        <w:bidi w:val="0"/>
        <w:spacing w:lineRule="auto" w:line="288" w:before="0" w:after="240"/>
        <w:ind w:left="0" w:right="0" w:hanging="2880"/>
        <w:jc w:val="both"/>
        <w:rPr/>
      </w:pPr>
      <w:r>
        <w:rPr>
          <w:rFonts w:ascii="Times New Roman;serif" w:hAnsi="Times New Roman;serif"/>
          <w:b/>
          <w:color w:val="000000"/>
          <w:sz w:val="20"/>
        </w:rPr>
        <w:t>Control:    </w:t>
      </w:r>
      <w:r>
        <w:rPr>
          <w:rFonts w:ascii="Times New Roman;serif" w:hAnsi="Times New Roman;serif"/>
          <w:b w:val="false"/>
          <w:color w:val="000000"/>
          <w:sz w:val="20"/>
        </w:rPr>
        <w:t>If a Change in Control occurs during Participant’s Continuous Service, the Restricted Stock Unit Award shall be treated in accordance with terms of Section 9(d) of the Plan. Notwithstanding Section 9(d)(ii) of the Plan, if the surviving corporation or acquiring corporation (or the surviving or acquiring corporation’s parent company) assumes or continues the Restricted Stock Unit Award or substitutes the Restricted Stock Unit Award for a similar stock award in accordance with Section 9(c)(i) of the Plan (such units, the “</w:t>
      </w:r>
      <w:r>
        <w:rPr>
          <w:rFonts w:ascii="Times New Roman;serif" w:hAnsi="Times New Roman;serif"/>
          <w:b/>
          <w:i/>
          <w:color w:val="000000"/>
          <w:sz w:val="20"/>
        </w:rPr>
        <w:t>Eligible Restricted Stock Units</w:t>
      </w:r>
      <w:r>
        <w:rPr>
          <w:color w:val="000000"/>
        </w:rPr>
        <w:t>”</w:t>
      </w:r>
      <w:r>
        <w:rPr>
          <w:rFonts w:ascii="Times New Roman;serif" w:hAnsi="Times New Roman;serif"/>
          <w:b w:val="false"/>
          <w:color w:val="000000"/>
          <w:sz w:val="20"/>
        </w:rPr>
        <w:t>) and Participant’s Continuous Service is terminated due to Participant’s death or Disability</w:t>
      </w:r>
      <w:r>
        <w:rPr>
          <w:color w:val="000000"/>
          <w:shd w:fill="FFFFFF" w:val="clear"/>
        </w:rPr>
        <w:t xml:space="preserve"> </w:t>
      </w:r>
      <w:r>
        <w:rPr>
          <w:rFonts w:ascii="Times New Roman;serif" w:hAnsi="Times New Roman;serif"/>
          <w:b w:val="false"/>
          <w:color w:val="000000"/>
          <w:sz w:val="20"/>
          <w:shd w:fill="FFFFFF" w:val="clear"/>
        </w:rPr>
        <w:t>during the twenty-four (24)-month period commencing on such Change in Control</w:t>
      </w:r>
      <w:r>
        <w:rPr>
          <w:rFonts w:ascii="Times New Roman;serif" w:hAnsi="Times New Roman;serif"/>
          <w:b w:val="false"/>
          <w:color w:val="000000"/>
          <w:sz w:val="20"/>
        </w:rPr>
        <w:t>, all Eligible Restricted Stock Units that have not previously vested shall vest as of the date of such termination.</w:t>
      </w:r>
    </w:p>
    <w:p>
      <w:pPr>
        <w:pStyle w:val="TextBody"/>
        <w:bidi w:val="0"/>
        <w:spacing w:lineRule="auto" w:line="288" w:before="0" w:after="0"/>
        <w:ind w:left="0" w:right="0" w:hanging="2880"/>
        <w:jc w:val="both"/>
        <w:rPr>
          <w:rFonts w:ascii="Times New Roman;serif" w:hAnsi="Times New Roman;serif"/>
          <w:b/>
          <w:color w:val="000000"/>
          <w:sz w:val="20"/>
        </w:rPr>
      </w:pPr>
      <w:r>
        <w:rPr>
          <w:rFonts w:ascii="Times New Roman;serif" w:hAnsi="Times New Roman;serif"/>
          <w:b/>
          <w:color w:val="000000"/>
          <w:sz w:val="20"/>
        </w:rPr>
        <w:t>Treatment on a Termination</w:t>
      </w:r>
    </w:p>
    <w:p>
      <w:pPr>
        <w:pStyle w:val="TextBody"/>
        <w:bidi w:val="0"/>
        <w:spacing w:lineRule="auto" w:line="288" w:before="0" w:after="240"/>
        <w:ind w:left="0" w:right="0" w:hanging="2880"/>
        <w:jc w:val="both"/>
        <w:rPr/>
      </w:pPr>
      <w:r>
        <w:rPr>
          <w:rFonts w:ascii="Times New Roman;serif" w:hAnsi="Times New Roman;serif"/>
          <w:b/>
          <w:color w:val="000000"/>
          <w:sz w:val="20"/>
        </w:rPr>
        <w:t>Due to Death or Disability:    </w:t>
      </w:r>
      <w:r>
        <w:rPr>
          <w:rFonts w:ascii="Times New Roman;serif" w:hAnsi="Times New Roman;serif"/>
          <w:b w:val="false"/>
          <w:color w:val="000000"/>
          <w:sz w:val="20"/>
        </w:rPr>
        <w:t xml:space="preserve">If, prior to a Change in Control, Participant’s Continuous Service terminates as a result of Participant’s death or Disability, subject to Participant’s (or Participant’s legal representative’s) execution and delivery of the Company’s standard form of a general release of claims in favor of the Company and its Affiliates and such release becoming irrevocable no later than sixty (60) days </w:t>
      </w:r>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following such termination, all Restricted Stock Units that have not previously vested shall vest as of the date of such termination.</w:t>
      </w:r>
    </w:p>
    <w:p>
      <w:pPr>
        <w:pStyle w:val="TextBody"/>
        <w:bidi w:val="0"/>
        <w:spacing w:lineRule="auto" w:line="288" w:before="0" w:after="240"/>
        <w:ind w:left="0" w:right="0" w:hanging="2880"/>
        <w:jc w:val="both"/>
        <w:rPr/>
      </w:pPr>
      <w:r>
        <w:rPr>
          <w:rFonts w:ascii="Times New Roman;serif" w:hAnsi="Times New Roman;serif"/>
          <w:b/>
          <w:color w:val="000000"/>
          <w:sz w:val="20"/>
        </w:rPr>
        <w:t>Issuance Schedule:    </w:t>
      </w:r>
      <w:r>
        <w:rPr>
          <w:rFonts w:ascii="Times New Roman;serif" w:hAnsi="Times New Roman;serif"/>
          <w:b w:val="false"/>
          <w:color w:val="000000"/>
          <w:sz w:val="20"/>
        </w:rPr>
        <w:t>Subject to any change in respect of a Capitalization Adjustment (as provided in the Plan), one share of Common Stock will be issued for each Restricted Stock Unit that vests at the time set forth in Section 6 of the Non-Employee Director Restricted Stock Unit Award Agreement.</w:t>
      </w:r>
    </w:p>
    <w:p>
      <w:pPr>
        <w:pStyle w:val="TextBody"/>
        <w:bidi w:val="0"/>
        <w:spacing w:lineRule="auto" w:line="288" w:before="0" w:after="0"/>
        <w:ind w:left="0" w:right="0" w:hanging="2880"/>
        <w:jc w:val="both"/>
        <w:rPr>
          <w:rFonts w:ascii="Times New Roman;serif" w:hAnsi="Times New Roman;serif"/>
          <w:b/>
          <w:color w:val="000000"/>
          <w:sz w:val="20"/>
        </w:rPr>
      </w:pPr>
      <w:r>
        <w:rPr>
          <w:rFonts w:ascii="Times New Roman;serif" w:hAnsi="Times New Roman;serif"/>
          <w:b/>
          <w:color w:val="000000"/>
          <w:sz w:val="20"/>
        </w:rPr>
        <w:t xml:space="preserve">Share Ownership </w:t>
      </w:r>
    </w:p>
    <w:p>
      <w:pPr>
        <w:pStyle w:val="TextBody"/>
        <w:bidi w:val="0"/>
        <w:spacing w:lineRule="auto" w:line="288" w:before="0" w:after="240"/>
        <w:ind w:left="0" w:right="0" w:hanging="2880"/>
        <w:jc w:val="both"/>
        <w:rPr/>
      </w:pPr>
      <w:r>
        <w:rPr>
          <w:rFonts w:ascii="Times New Roman;serif" w:hAnsi="Times New Roman;serif"/>
          <w:b/>
          <w:color w:val="000000"/>
          <w:sz w:val="20"/>
        </w:rPr>
        <w:t>Guidelines, Etc.</w:t>
      </w:r>
      <w:r>
        <w:rPr>
          <w:rFonts w:ascii="Times New Roman;serif" w:hAnsi="Times New Roman;serif"/>
          <w:b w:val="false"/>
          <w:color w:val="000000"/>
          <w:sz w:val="20"/>
        </w:rPr>
        <w:t>:    The Restricted Stock Units (and any compensation paid or shares issued in respect of the Restricted Stock Units) are subject to (i) any share ownership guidelines to which Participant may be subject, and (ii) any insider trading policy adopted by the Company and any applicable law regulating trading by employees.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Additional Terms/</w:t>
      </w:r>
    </w:p>
    <w:p>
      <w:pPr>
        <w:pStyle w:val="TextBody"/>
        <w:bidi w:val="0"/>
        <w:spacing w:lineRule="auto" w:line="288" w:before="0" w:after="240"/>
        <w:ind w:left="0" w:right="0" w:hanging="2880"/>
        <w:jc w:val="both"/>
        <w:rPr/>
      </w:pPr>
      <w:r>
        <w:rPr>
          <w:rFonts w:ascii="Times New Roman;serif" w:hAnsi="Times New Roman;serif"/>
          <w:b/>
          <w:color w:val="000000"/>
          <w:sz w:val="20"/>
        </w:rPr>
        <w:t>Acknowledgements:</w:t>
      </w:r>
      <w:r>
        <w:rPr>
          <w:color w:val="000000"/>
        </w:rPr>
        <w:t>    </w:t>
      </w:r>
      <w:r>
        <w:rPr>
          <w:rFonts w:ascii="Times New Roman;serif" w:hAnsi="Times New Roman;serif"/>
          <w:b w:val="false"/>
          <w:color w:val="000000"/>
          <w:sz w:val="20"/>
        </w:rPr>
        <w:t>By signing below or, if applicable, electronically accepting this Restricted Stock Unit Award, the undersigned Participant acknowledges having received and reviewed in their entirety, and fully understands and agrees to, all provisions of this Grant Notice, the Non-Employee Director Restricted Stock Unit Award Agreement and the Plan. Participant acknowledges and agrees that this Grant Notice and the Non-Employee Director Restricted Stock Unit Award Agreement may not be modified, amended or revised except as provided in the Plan. Participant further acknowledges that, as of the Date of Grant, this Grant Notice, the Non-Employee Director Restricted Stock Unit Award Agreement and the Plan set forth the entire agreement and understanding between Participant and the Company regarding the acquisition of the Common Stock pursuant to the Award specified above and supersede all prior oral and written agreements, promises and/or representations on that subject with the exception of (i) Restricted Stock Units previously granted and delivered to Participant, (ii) any applicable compensation recovery policy that is adopted by the Company or is otherwise required by applicable law, and (iii) any written employment or severance arrangement that would provide for vesting acceleration of this Restricted Stock Unit Award upon the terms and conditions set forth therein. By accepting this Restricted Stock Unit Award, Participant consents to receive such documents by electronic delivery and to participate in the Plan through an online or electronic system established and maintained by the Company or another third party designated by the Company.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This Award of Restricted Stock Units is subject to Participant’s returning a signed copy of this Grant Notice to the Company or, if applicable, electronically accepting this Award through the E*Trade website. Participant shall forfeit the Restricted Stock Units if Participant does not execute this Grant Notice or otherwise accept the Restricted Stock Units within 360 days of the Vesting Commencement Date.</w:t>
      </w:r>
    </w:p>
    <w:tbl>
      <w:tblPr>
        <w:tblW w:w="2835" w:type="dxa"/>
        <w:jc w:val="left"/>
        <w:tblInd w:w="0" w:type="dxa"/>
        <w:tblLayout w:type="fixed"/>
        <w:tblCellMar>
          <w:top w:w="28" w:type="dxa"/>
          <w:left w:w="28" w:type="dxa"/>
          <w:bottom w:w="28" w:type="dxa"/>
          <w:right w:w="28" w:type="dxa"/>
        </w:tblCellMar>
      </w:tblPr>
      <w:tblGrid>
        <w:gridCol w:w="603"/>
        <w:gridCol w:w="530"/>
        <w:gridCol w:w="531"/>
        <w:gridCol w:w="343"/>
        <w:gridCol w:w="343"/>
        <w:gridCol w:w="485"/>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HealthEquity, Inc.</w:t>
            </w:r>
          </w:p>
          <w:p>
            <w:pPr>
              <w:pStyle w:val="TableContents"/>
              <w:bidi w:val="0"/>
              <w:spacing w:lineRule="auto" w:line="288" w:before="0" w:after="0"/>
              <w:jc w:val="left"/>
              <w:rPr/>
            </w:pPr>
            <w:r>
              <w:rPr>
                <w:rFonts w:ascii="Times New Roman;serif" w:hAnsi="Times New Roman;serif"/>
                <w:b w:val="false"/>
                <w:color w:val="000000"/>
                <w:sz w:val="20"/>
              </w:rPr>
              <w:t>By:</w:t>
            </w:r>
            <w:r>
              <w:rPr>
                <w:color w:val="000000"/>
                <w:u w:val="single"/>
              </w:rPr>
              <w:t>    </w:t>
            </w:r>
          </w:p>
          <w:p>
            <w:pPr>
              <w:pStyle w:val="TableContents"/>
              <w:bidi w:val="0"/>
              <w:spacing w:lineRule="auto" w:line="288" w:before="0" w:after="240"/>
              <w:jc w:val="left"/>
              <w:rPr>
                <w:color w:val="000000"/>
              </w:rPr>
            </w:pPr>
            <w:r>
              <w:rPr>
                <w:color w:val="000000"/>
              </w:rPr>
              <w:t>    </w:t>
            </w:r>
            <w:r>
              <w:rPr>
                <w:rFonts w:ascii="Times New Roman;serif" w:hAnsi="Times New Roman;serif"/>
                <w:b w:val="false"/>
                <w:color w:val="000000"/>
                <w:sz w:val="20"/>
              </w:rPr>
              <w:t>Signature</w:t>
            </w:r>
          </w:p>
          <w:p>
            <w:pPr>
              <w:pStyle w:val="TableContents"/>
              <w:bidi w:val="0"/>
              <w:spacing w:lineRule="auto" w:line="288" w:before="0" w:after="240"/>
              <w:jc w:val="left"/>
              <w:rPr/>
            </w:pPr>
            <w:r>
              <w:rPr>
                <w:rFonts w:ascii="Times New Roman;serif" w:hAnsi="Times New Roman;serif"/>
                <w:b w:val="false"/>
                <w:color w:val="000000"/>
                <w:sz w:val="20"/>
              </w:rPr>
              <w:t>Title:</w:t>
            </w:r>
            <w:r>
              <w:rPr>
                <w:color w:val="000000"/>
                <w:u w:val="single"/>
              </w:rPr>
              <w:t>        </w:t>
            </w:r>
          </w:p>
          <w:p>
            <w:pPr>
              <w:pStyle w:val="TableContents"/>
              <w:bidi w:val="0"/>
              <w:spacing w:lineRule="auto" w:line="288" w:before="0" w:after="240"/>
              <w:jc w:val="left"/>
              <w:rPr/>
            </w:pPr>
            <w:r>
              <w:rPr>
                <w:rFonts w:ascii="Times New Roman;serif" w:hAnsi="Times New Roman;serif"/>
                <w:b w:val="false"/>
                <w:color w:val="000000"/>
                <w:sz w:val="20"/>
              </w:rPr>
              <w:t>Date:</w:t>
            </w:r>
            <w:r>
              <w:rPr>
                <w:color w:val="000000"/>
                <w:u w:val="single"/>
              </w:rPr>
              <w:t>        </w:t>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Participant</w:t>
            </w:r>
          </w:p>
          <w:p>
            <w:pPr>
              <w:pStyle w:val="TableContents"/>
              <w:bidi w:val="0"/>
              <w:spacing w:lineRule="auto" w:line="288" w:before="0" w:after="0"/>
              <w:jc w:val="left"/>
              <w:rPr/>
            </w:pPr>
            <w:r>
              <w:rPr>
                <w:rFonts w:ascii="Times New Roman;serif" w:hAnsi="Times New Roman;serif"/>
                <w:b w:val="false"/>
                <w:color w:val="000000"/>
                <w:sz w:val="20"/>
              </w:rPr>
              <w:t>By:</w:t>
            </w:r>
            <w:r>
              <w:rPr>
                <w:color w:val="000000"/>
                <w:u w:val="single"/>
              </w:rPr>
              <w:t>    </w:t>
            </w:r>
          </w:p>
          <w:p>
            <w:pPr>
              <w:pStyle w:val="TableContents"/>
              <w:bidi w:val="0"/>
              <w:spacing w:lineRule="auto" w:line="288" w:before="0" w:after="240"/>
              <w:jc w:val="left"/>
              <w:rPr>
                <w:color w:val="000000"/>
              </w:rPr>
            </w:pPr>
            <w:r>
              <w:rPr>
                <w:color w:val="000000"/>
              </w:rPr>
              <w:t>    </w:t>
            </w:r>
            <w:r>
              <w:rPr>
                <w:rFonts w:ascii="Times New Roman;serif" w:hAnsi="Times New Roman;serif"/>
                <w:b w:val="false"/>
                <w:color w:val="000000"/>
                <w:sz w:val="20"/>
              </w:rPr>
              <w:t>Signature</w:t>
            </w:r>
          </w:p>
          <w:p>
            <w:pPr>
              <w:pStyle w:val="TableContents"/>
              <w:bidi w:val="0"/>
              <w:spacing w:lineRule="auto" w:line="288" w:before="0" w:after="240"/>
              <w:jc w:val="left"/>
              <w:rPr/>
            </w:pPr>
            <w:r>
              <w:rPr>
                <w:rFonts w:ascii="Times New Roman;serif" w:hAnsi="Times New Roman;serif"/>
                <w:b w:val="false"/>
                <w:color w:val="000000"/>
                <w:sz w:val="20"/>
              </w:rPr>
              <w:t>Title:</w:t>
            </w:r>
            <w:r>
              <w:rPr>
                <w:color w:val="000000"/>
                <w:u w:val="single"/>
              </w:rPr>
              <w:t>        </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0"/>
        </w:rPr>
        <w:t>Attachments</w:t>
      </w:r>
      <w:r>
        <w:rPr>
          <w:rFonts w:ascii="Times New Roman;serif" w:hAnsi="Times New Roman;serif"/>
          <w:b w:val="false"/>
          <w:color w:val="000000"/>
          <w:sz w:val="20"/>
        </w:rPr>
        <w:t>: Non-Employee Director Restricted Stock Unit Award Agreement and Amended and Restated 2024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Attachment I</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Non-Employee Director </w:t>
      </w:r>
    </w:p>
    <w:p>
      <w:pPr>
        <w:pStyle w:val="TextBody"/>
        <w:bidi w:val="0"/>
        <w:spacing w:lineRule="auto" w:line="288"/>
        <w:jc w:val="center"/>
        <w:rPr/>
      </w:pPr>
      <w:r>
        <w:rPr>
          <w:rFonts w:ascii="Times New Roman;serif" w:hAnsi="Times New Roman;serif"/>
          <w:b/>
          <w:color w:val="000000"/>
          <w:sz w:val="20"/>
        </w:rPr>
        <w:t>Restricted Stock Unit Agreement</w:t>
      </w:r>
      <w:r>
        <w:rPr>
          <w:rFonts w:ascii="Times New Roman;serif" w:hAnsi="Times New Roman;serif"/>
          <w:b w:val="false"/>
          <w:color w:val="000000"/>
          <w:sz w:val="20"/>
        </w:rPr>
        <w:br/>
        <w:t>(see attached)</w:t>
      </w: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Attachment II</w:t>
      </w:r>
    </w:p>
    <w:p>
      <w:pPr>
        <w:pStyle w:val="TextBody"/>
        <w:bidi w:val="0"/>
        <w:spacing w:lineRule="auto" w:line="288" w:before="0" w:after="240"/>
        <w:jc w:val="center"/>
        <w:rPr/>
      </w:pPr>
      <w:r>
        <w:rPr>
          <w:rFonts w:ascii="Times New Roman;serif" w:hAnsi="Times New Roman;serif"/>
          <w:b/>
          <w:color w:val="000000"/>
          <w:sz w:val="20"/>
        </w:rPr>
        <w:t>Equity Incentive Plan</w:t>
      </w:r>
      <w:r>
        <w:rPr>
          <w:rFonts w:ascii="Times New Roman;serif" w:hAnsi="Times New Roman;serif"/>
          <w:b w:val="false"/>
          <w:color w:val="000000"/>
          <w:sz w:val="20"/>
        </w:rPr>
        <w:br/>
        <w:t>(see attached)</w:t>
      </w:r>
    </w:p>
    <w:p>
      <w:pPr>
        <w:pStyle w:val="TextBody"/>
        <w:bidi w:val="0"/>
        <w:spacing w:before="0" w:after="16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HEALTHEQUITY, INC.</w:t>
        <w:br/>
        <w:t>NON-EMPLOYEE DIRECTOR RESTRICTED STOCK UNIT NOTICE</w:t>
        <w:br/>
        <w:t>(AMENDED AND RESTATED 2024 EQUITY INCENTIVE PLAN)</w:t>
      </w:r>
    </w:p>
    <w:p>
      <w:pPr>
        <w:pStyle w:val="TextBody"/>
        <w:bidi w:val="0"/>
        <w:spacing w:lineRule="auto" w:line="288" w:before="0" w:after="240"/>
        <w:jc w:val="both"/>
        <w:rPr/>
      </w:pPr>
      <w:r>
        <w:rPr>
          <w:rFonts w:ascii="Times New Roman;serif" w:hAnsi="Times New Roman;serif"/>
          <w:b w:val="false"/>
          <w:color w:val="000000"/>
          <w:sz w:val="20"/>
        </w:rPr>
        <w:t>HealthEquity,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pursuant to its Amended and Restated 2024 Equity Incentive Plan, as amended and restated from time to time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hereby grants to Participant a Restricted Stock Unit Award for the number of shares of the Company’s Common Stock set forth below (the “</w:t>
      </w:r>
      <w:r>
        <w:rPr>
          <w:rFonts w:ascii="Times New Roman;serif" w:hAnsi="Times New Roman;serif"/>
          <w:b/>
          <w:i/>
          <w:color w:val="000000"/>
          <w:sz w:val="20"/>
        </w:rPr>
        <w:t>Restricted Stock Units</w:t>
      </w:r>
      <w:r>
        <w:rPr>
          <w:color w:val="000000"/>
        </w:rPr>
        <w:t>”</w:t>
      </w:r>
      <w:r>
        <w:rPr>
          <w:rFonts w:ascii="Times New Roman;serif" w:hAnsi="Times New Roman;serif"/>
          <w:b w:val="false"/>
          <w:color w:val="000000"/>
          <w:sz w:val="20"/>
        </w:rPr>
        <w:t>). The Restricted Stock Unit Award is subject to all of the terms and conditions as set forth in this Non-Employee Director Restricted Stock Unit Notice (this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xml:space="preserve">), in the Non-Employee Director Restricted Stock Unit Award Agreement (attached hereto as Attachment I) and the Plan (attached hereto as Attachment II), both of which are incorporated herein in their entirety. Capitalized terms not explicitly defined herein but defined in the Plan or the Non-Employee Director Restricted Stock Unit Award Agreement will have the same definitions as in the Plan or the Non-Employee Director Restricted Stock Unit Award Agreement. If there is any conflict between the terms in this Grant Notice and the Plan, the terms of the Plan will control. </w:t>
      </w:r>
    </w:p>
    <w:tbl>
      <w:tblPr>
        <w:tblW w:w="7424" w:type="dxa"/>
        <w:jc w:val="left"/>
        <w:tblInd w:w="0" w:type="dxa"/>
        <w:tblLayout w:type="fixed"/>
        <w:tblCellMar>
          <w:top w:w="28" w:type="dxa"/>
          <w:left w:w="28" w:type="dxa"/>
          <w:bottom w:w="28" w:type="dxa"/>
          <w:right w:w="28" w:type="dxa"/>
        </w:tblCellMar>
      </w:tblPr>
      <w:tblGrid>
        <w:gridCol w:w="1047"/>
        <w:gridCol w:w="921"/>
        <w:gridCol w:w="926"/>
        <w:gridCol w:w="1325"/>
        <w:gridCol w:w="1325"/>
        <w:gridCol w:w="1880"/>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Name of Participant:</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%%FIRST_NAME_MIDDLE_NAME_LAST_NAME%-%</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Date of Grant:</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%%OPTION_DATE,'Month DD, YYYY'%-%</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Vesting Commencement Date:</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%%OPTION_DATE,'Month DD, YYYY'%-%</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Number of Restricted Stock Units:</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%%TOTAL_SHARES_GRANTED,'999,999,999'%-%</w:t>
            </w:r>
          </w:p>
        </w:tc>
      </w:tr>
    </w:tbl>
    <w:p>
      <w:pPr>
        <w:pStyle w:val="TextBody"/>
        <w:bidi w:val="0"/>
        <w:spacing w:before="0" w:after="240"/>
        <w:ind w:left="0" w:right="0" w:hanging="2880"/>
        <w:jc w:val="both"/>
        <w:rPr/>
      </w:pPr>
      <w:r>
        <w:rPr/>
      </w:r>
    </w:p>
    <w:p>
      <w:pPr>
        <w:pStyle w:val="TextBody"/>
        <w:bidi w:val="0"/>
        <w:spacing w:lineRule="auto" w:line="288" w:before="0" w:after="240"/>
        <w:ind w:left="0" w:right="0" w:hanging="2880"/>
        <w:jc w:val="both"/>
        <w:rPr/>
      </w:pPr>
      <w:r>
        <w:rPr>
          <w:rFonts w:ascii="Times New Roman;serif" w:hAnsi="Times New Roman;serif"/>
          <w:b/>
          <w:color w:val="000000"/>
          <w:sz w:val="20"/>
        </w:rPr>
        <w:t>Vesting Schedule:    </w:t>
      </w:r>
      <w:r>
        <w:rPr>
          <w:rFonts w:ascii="Times New Roman;serif" w:hAnsi="Times New Roman;serif"/>
          <w:b w:val="false"/>
          <w:color w:val="000000"/>
          <w:sz w:val="20"/>
        </w:rPr>
        <w:t>The shares subject to the Award shall vest as follows: twenty-five (25%) of the shares shall vest upon the Date of Grant; twenty-five (25%) of the shares shall vest on the first day of the second quarter of the Company’s fiscal year (May 1) in which the Date of Grant occurs; twenty-five (25%) of the shares shall vest on the first day of the third quarter of the Company’s fiscal year (August 1) in which the Date of Grant occurs; and the remaining twenty-five (25%) shall vest on the first day of the fourth quarter of the Company’s fiscal year (November 1) in which the Date of Grant occurs.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Treatment on a Change in </w:t>
      </w:r>
    </w:p>
    <w:p>
      <w:pPr>
        <w:pStyle w:val="TextBody"/>
        <w:bidi w:val="0"/>
        <w:spacing w:lineRule="auto" w:line="288" w:before="0" w:after="240"/>
        <w:ind w:left="0" w:right="0" w:hanging="2880"/>
        <w:jc w:val="both"/>
        <w:rPr/>
      </w:pPr>
      <w:r>
        <w:rPr>
          <w:rFonts w:ascii="Times New Roman;serif" w:hAnsi="Times New Roman;serif"/>
          <w:b/>
          <w:color w:val="000000"/>
          <w:sz w:val="20"/>
        </w:rPr>
        <w:t>Control:    </w:t>
      </w:r>
      <w:r>
        <w:rPr>
          <w:rFonts w:ascii="Times New Roman;serif" w:hAnsi="Times New Roman;serif"/>
          <w:b w:val="false"/>
          <w:color w:val="000000"/>
          <w:sz w:val="20"/>
        </w:rPr>
        <w:t>If a Change in Control occurs during Participant’s Continuous Service, the Restricted Stock Unit Award shall be treated in accordance with terms of Section 9(d) of the Plan. Notwithstanding Section 9(d)(ii) of the Plan, if the surviving corporation or acquiring corporation (or the surviving or acquiring corporation’s parent company) assumes or continues the Restricted Stock Unit Award or substitutes the Restricted Stock Unit Award for a similar stock award in accordance with Section 9(c)(i) of the Plan (such units, the “</w:t>
      </w:r>
      <w:r>
        <w:rPr>
          <w:rFonts w:ascii="Times New Roman;serif" w:hAnsi="Times New Roman;serif"/>
          <w:b/>
          <w:i/>
          <w:color w:val="000000"/>
          <w:sz w:val="20"/>
        </w:rPr>
        <w:t>Eligible Restricted Stock Units</w:t>
      </w:r>
      <w:r>
        <w:rPr>
          <w:color w:val="000000"/>
        </w:rPr>
        <w:t>”</w:t>
      </w:r>
      <w:r>
        <w:rPr>
          <w:rFonts w:ascii="Times New Roman;serif" w:hAnsi="Times New Roman;serif"/>
          <w:b w:val="false"/>
          <w:color w:val="000000"/>
          <w:sz w:val="20"/>
        </w:rPr>
        <w:t>) and Participant’s Continuous Service is terminated due to Participant’s death or Disability</w:t>
      </w:r>
      <w:r>
        <w:rPr>
          <w:color w:val="000000"/>
          <w:shd w:fill="FFFFFF" w:val="clear"/>
        </w:rPr>
        <w:t xml:space="preserve"> </w:t>
      </w:r>
      <w:r>
        <w:rPr>
          <w:rFonts w:ascii="Times New Roman;serif" w:hAnsi="Times New Roman;serif"/>
          <w:b w:val="false"/>
          <w:color w:val="000000"/>
          <w:sz w:val="20"/>
          <w:shd w:fill="FFFFFF" w:val="clear"/>
        </w:rPr>
        <w:t>during the twenty-four (24)-month period commencing on such Change in Control</w:t>
      </w:r>
      <w:r>
        <w:rPr>
          <w:rFonts w:ascii="Times New Roman;serif" w:hAnsi="Times New Roman;serif"/>
          <w:b w:val="false"/>
          <w:color w:val="000000"/>
          <w:sz w:val="20"/>
        </w:rPr>
        <w:t>, all Eligible Restricted Stock Units that have not previously vested shall vest as of the date of such termination.</w:t>
      </w:r>
    </w:p>
    <w:p>
      <w:pPr>
        <w:pStyle w:val="TextBody"/>
        <w:bidi w:val="0"/>
        <w:spacing w:lineRule="auto" w:line="288" w:before="0" w:after="0"/>
        <w:ind w:left="0" w:right="0" w:hanging="2880"/>
        <w:jc w:val="both"/>
        <w:rPr>
          <w:rFonts w:ascii="Times New Roman;serif" w:hAnsi="Times New Roman;serif"/>
          <w:b/>
          <w:color w:val="000000"/>
          <w:sz w:val="20"/>
        </w:rPr>
      </w:pPr>
      <w:r>
        <w:rPr>
          <w:rFonts w:ascii="Times New Roman;serif" w:hAnsi="Times New Roman;serif"/>
          <w:b/>
          <w:color w:val="000000"/>
          <w:sz w:val="20"/>
        </w:rPr>
        <w:t>Treatment on a Termination</w:t>
      </w:r>
    </w:p>
    <w:p>
      <w:pPr>
        <w:pStyle w:val="TextBody"/>
        <w:bidi w:val="0"/>
        <w:spacing w:lineRule="auto" w:line="288" w:before="0" w:after="240"/>
        <w:ind w:left="0" w:right="0" w:hanging="2790"/>
        <w:jc w:val="both"/>
        <w:rPr/>
      </w:pPr>
      <w:r>
        <w:rPr>
          <w:rFonts w:ascii="Times New Roman;serif" w:hAnsi="Times New Roman;serif"/>
          <w:b/>
          <w:color w:val="000000"/>
          <w:sz w:val="20"/>
        </w:rPr>
        <w:t>Due to Death or Disability:    </w:t>
      </w:r>
      <w:r>
        <w:rPr>
          <w:rFonts w:ascii="Times New Roman;serif" w:hAnsi="Times New Roman;serif"/>
          <w:b w:val="false"/>
          <w:color w:val="000000"/>
          <w:sz w:val="20"/>
        </w:rPr>
        <w:t xml:space="preserve">If, prior to a Change in Control, Participant’s Continuous Service terminates as a result of Participant’s death or Disability, subject to Participant’s (or Participant’s legal representative’s) execution and delivery of the Company’s standard form of a general release of claims in favor of the Company and its Affiliates and such </w:t>
      </w:r>
    </w:p>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release becoming irrevocable no later than sixty (60) days following such termination, all Restricted Stock Units that have not previously vested shall vest as of the date of such termination.</w:t>
      </w:r>
    </w:p>
    <w:p>
      <w:pPr>
        <w:pStyle w:val="TextBody"/>
        <w:bidi w:val="0"/>
        <w:spacing w:lineRule="auto" w:line="288" w:before="0" w:after="240"/>
        <w:ind w:left="0" w:right="0" w:hanging="2790"/>
        <w:jc w:val="both"/>
        <w:rPr/>
      </w:pPr>
      <w:r>
        <w:rPr>
          <w:rFonts w:ascii="Times New Roman;serif" w:hAnsi="Times New Roman;serif"/>
          <w:b/>
          <w:color w:val="000000"/>
          <w:sz w:val="20"/>
        </w:rPr>
        <w:t>Issuance Schedule:    </w:t>
      </w:r>
      <w:r>
        <w:rPr>
          <w:rFonts w:ascii="Times New Roman;serif" w:hAnsi="Times New Roman;serif"/>
          <w:b w:val="false"/>
          <w:color w:val="000000"/>
          <w:sz w:val="20"/>
        </w:rPr>
        <w:t>Subject to any change in respect of a Capitalization Adjustment (as provided in the Plan), one share of Common Stock will be issued for each Restricted Stock Unit that vests at the time set forth in Section 6 of the Non-Employee Director Restricted Stock Unit Award Agreement.</w:t>
      </w:r>
    </w:p>
    <w:p>
      <w:pPr>
        <w:pStyle w:val="TextBody"/>
        <w:bidi w:val="0"/>
        <w:spacing w:lineRule="auto" w:line="288" w:before="0" w:after="0"/>
        <w:ind w:left="0" w:right="0" w:hanging="2880"/>
        <w:jc w:val="both"/>
        <w:rPr>
          <w:rFonts w:ascii="Times New Roman;serif" w:hAnsi="Times New Roman;serif"/>
          <w:b/>
          <w:color w:val="000000"/>
          <w:sz w:val="20"/>
        </w:rPr>
      </w:pPr>
      <w:r>
        <w:rPr>
          <w:rFonts w:ascii="Times New Roman;serif" w:hAnsi="Times New Roman;serif"/>
          <w:b/>
          <w:color w:val="000000"/>
          <w:sz w:val="20"/>
        </w:rPr>
        <w:t xml:space="preserve">Share Ownership </w:t>
      </w:r>
    </w:p>
    <w:p>
      <w:pPr>
        <w:pStyle w:val="TextBody"/>
        <w:bidi w:val="0"/>
        <w:spacing w:lineRule="auto" w:line="288" w:before="0" w:after="240"/>
        <w:ind w:left="0" w:right="0" w:hanging="2880"/>
        <w:jc w:val="both"/>
        <w:rPr/>
      </w:pPr>
      <w:r>
        <w:rPr>
          <w:rFonts w:ascii="Times New Roman;serif" w:hAnsi="Times New Roman;serif"/>
          <w:b/>
          <w:color w:val="000000"/>
          <w:sz w:val="20"/>
        </w:rPr>
        <w:t>Guidelines, Etc.</w:t>
      </w:r>
      <w:r>
        <w:rPr>
          <w:rFonts w:ascii="Times New Roman;serif" w:hAnsi="Times New Roman;serif"/>
          <w:b w:val="false"/>
          <w:color w:val="000000"/>
          <w:sz w:val="20"/>
        </w:rPr>
        <w:t>:    The Restricted Stock Units (and any compensation paid or shares issued in respect of the Restricted Stock Units) are subject to (i) any share ownership guidelines to which Participant may be subject, and (ii) any insider trading policy adopted by the Company and any applicable law regulating trading by employees.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Additional Terms/</w:t>
      </w:r>
    </w:p>
    <w:p>
      <w:pPr>
        <w:pStyle w:val="TextBody"/>
        <w:bidi w:val="0"/>
        <w:spacing w:lineRule="auto" w:line="288" w:before="0" w:after="240"/>
        <w:ind w:left="0" w:right="0" w:hanging="2880"/>
        <w:jc w:val="both"/>
        <w:rPr/>
      </w:pPr>
      <w:r>
        <w:rPr>
          <w:rFonts w:ascii="Times New Roman;serif" w:hAnsi="Times New Roman;serif"/>
          <w:b/>
          <w:color w:val="000000"/>
          <w:sz w:val="20"/>
        </w:rPr>
        <w:t>Acknowledgements:</w:t>
      </w:r>
      <w:r>
        <w:rPr>
          <w:color w:val="000000"/>
        </w:rPr>
        <w:t xml:space="preserve">     </w:t>
      </w:r>
      <w:r>
        <w:rPr>
          <w:rFonts w:ascii="Times New Roman;serif" w:hAnsi="Times New Roman;serif"/>
          <w:b w:val="false"/>
          <w:color w:val="000000"/>
          <w:sz w:val="20"/>
        </w:rPr>
        <w:t>By signing below or, if applicable, electronically accepting this Restricted Stock Unit Award, the undersigned Participant acknowledges having received and reviewed in their entirety, and fully understands and agrees to all provisions of this Grant Notice, the Non-Employee Director Restricted Stock Unit Award Agreement and the Plan. Participant acknowledges and agrees that this Grant Notice and the Non-Employee Director Restricted Stock Unit Award Agreement may not be modified, amended or revised except as provided in the Plan. Participant further acknowledges that, as of the Date of Grant, this Grant Notice, the Non-Employee Director Restricted Stock Unit Award Agreement and the Plan set forth the entire agreement and understanding between Participant and the Company regarding the acquisition of the Common Stock pursuant to the Award specified above and supersede all prior oral and written agreements, promises and/or representations on that subject with the exception of (i) Restricted Stock Units previously granted and delivered to Participant, (ii)  any applicable compensation recovery policy that is adopted by the Company or is otherwise required by applicable law, and (iii) any written employment or severance arrangement that would provide for vesting acceleration of this Restricted Stock Unit Award upon the terms and conditions set forth therein. By accepting this Restricted Stock Unit Award, Participant consents to receive such documents by electronic delivery and to participate in the Plan through an online or electronic system established and maintained by the Company or another third party designated by the Company.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This Award of Restricted Stock Units is subject to Participant’s returning a signed copy of this Grant Notice to the Company or, if applicable, electronically accepting this Award through the E*Trade website. Participant shall forfeit the Restricted Stock Units if Participant does not execute this Grant Notice or otherwise accept the Restricted Stock Units within 360 days of the Vesting Commencement Date.</w:t>
      </w: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2835" w:type="dxa"/>
        <w:jc w:val="left"/>
        <w:tblInd w:w="0" w:type="dxa"/>
        <w:tblLayout w:type="fixed"/>
        <w:tblCellMar>
          <w:top w:w="28" w:type="dxa"/>
          <w:left w:w="28" w:type="dxa"/>
          <w:bottom w:w="28" w:type="dxa"/>
          <w:right w:w="28" w:type="dxa"/>
        </w:tblCellMar>
      </w:tblPr>
      <w:tblGrid>
        <w:gridCol w:w="603"/>
        <w:gridCol w:w="530"/>
        <w:gridCol w:w="531"/>
        <w:gridCol w:w="343"/>
        <w:gridCol w:w="343"/>
        <w:gridCol w:w="485"/>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HealthEquity, Inc.</w:t>
            </w:r>
          </w:p>
          <w:p>
            <w:pPr>
              <w:pStyle w:val="TableContents"/>
              <w:bidi w:val="0"/>
              <w:spacing w:lineRule="auto" w:line="288" w:before="0" w:after="0"/>
              <w:jc w:val="left"/>
              <w:rPr/>
            </w:pPr>
            <w:r>
              <w:rPr>
                <w:rFonts w:ascii="Times New Roman;serif" w:hAnsi="Times New Roman;serif"/>
                <w:b w:val="false"/>
                <w:color w:val="000000"/>
                <w:sz w:val="20"/>
              </w:rPr>
              <w:t>By:</w:t>
            </w:r>
            <w:r>
              <w:rPr>
                <w:color w:val="000000"/>
                <w:u w:val="single"/>
              </w:rPr>
              <w:t>    </w:t>
            </w:r>
          </w:p>
          <w:p>
            <w:pPr>
              <w:pStyle w:val="TableContents"/>
              <w:bidi w:val="0"/>
              <w:spacing w:lineRule="auto" w:line="288" w:before="0" w:after="240"/>
              <w:jc w:val="left"/>
              <w:rPr>
                <w:color w:val="000000"/>
              </w:rPr>
            </w:pPr>
            <w:r>
              <w:rPr>
                <w:color w:val="000000"/>
              </w:rPr>
              <w:t>    </w:t>
            </w:r>
            <w:r>
              <w:rPr>
                <w:rFonts w:ascii="Times New Roman;serif" w:hAnsi="Times New Roman;serif"/>
                <w:b w:val="false"/>
                <w:color w:val="000000"/>
                <w:sz w:val="20"/>
              </w:rPr>
              <w:t>Signature</w:t>
            </w:r>
          </w:p>
          <w:p>
            <w:pPr>
              <w:pStyle w:val="TableContents"/>
              <w:bidi w:val="0"/>
              <w:spacing w:lineRule="auto" w:line="288" w:before="0" w:after="240"/>
              <w:jc w:val="left"/>
              <w:rPr/>
            </w:pPr>
            <w:r>
              <w:rPr>
                <w:rFonts w:ascii="Times New Roman;serif" w:hAnsi="Times New Roman;serif"/>
                <w:b w:val="false"/>
                <w:color w:val="000000"/>
                <w:sz w:val="20"/>
              </w:rPr>
              <w:t>Title:</w:t>
            </w:r>
            <w:r>
              <w:rPr>
                <w:color w:val="000000"/>
                <w:u w:val="single"/>
              </w:rPr>
              <w:t>        </w:t>
            </w:r>
          </w:p>
          <w:p>
            <w:pPr>
              <w:pStyle w:val="TableContents"/>
              <w:bidi w:val="0"/>
              <w:spacing w:lineRule="auto" w:line="288" w:before="0" w:after="240"/>
              <w:jc w:val="left"/>
              <w:rPr/>
            </w:pPr>
            <w:r>
              <w:rPr>
                <w:rFonts w:ascii="Times New Roman;serif" w:hAnsi="Times New Roman;serif"/>
                <w:b w:val="false"/>
                <w:color w:val="000000"/>
                <w:sz w:val="20"/>
              </w:rPr>
              <w:t>Date:</w:t>
            </w:r>
            <w:r>
              <w:rPr>
                <w:color w:val="000000"/>
                <w:u w:val="single"/>
              </w:rPr>
              <w:t>        </w:t>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Participant</w:t>
            </w:r>
          </w:p>
          <w:p>
            <w:pPr>
              <w:pStyle w:val="TableContents"/>
              <w:bidi w:val="0"/>
              <w:spacing w:lineRule="auto" w:line="288" w:before="0" w:after="0"/>
              <w:jc w:val="left"/>
              <w:rPr/>
            </w:pPr>
            <w:r>
              <w:rPr>
                <w:rFonts w:ascii="Times New Roman;serif" w:hAnsi="Times New Roman;serif"/>
                <w:b w:val="false"/>
                <w:color w:val="000000"/>
                <w:sz w:val="20"/>
              </w:rPr>
              <w:t>By:</w:t>
            </w:r>
            <w:r>
              <w:rPr>
                <w:color w:val="000000"/>
                <w:u w:val="single"/>
              </w:rPr>
              <w:t>    </w:t>
            </w:r>
          </w:p>
          <w:p>
            <w:pPr>
              <w:pStyle w:val="TableContents"/>
              <w:bidi w:val="0"/>
              <w:spacing w:lineRule="auto" w:line="288" w:before="0" w:after="240"/>
              <w:jc w:val="left"/>
              <w:rPr>
                <w:color w:val="000000"/>
              </w:rPr>
            </w:pPr>
            <w:r>
              <w:rPr>
                <w:color w:val="000000"/>
              </w:rPr>
              <w:t>    </w:t>
            </w:r>
            <w:r>
              <w:rPr>
                <w:rFonts w:ascii="Times New Roman;serif" w:hAnsi="Times New Roman;serif"/>
                <w:b w:val="false"/>
                <w:color w:val="000000"/>
                <w:sz w:val="20"/>
              </w:rPr>
              <w:t>Signature</w:t>
            </w:r>
          </w:p>
          <w:p>
            <w:pPr>
              <w:pStyle w:val="TableContents"/>
              <w:bidi w:val="0"/>
              <w:spacing w:lineRule="auto" w:line="288" w:before="0" w:after="240"/>
              <w:jc w:val="left"/>
              <w:rPr/>
            </w:pPr>
            <w:r>
              <w:rPr>
                <w:rFonts w:ascii="Times New Roman;serif" w:hAnsi="Times New Roman;serif"/>
                <w:b w:val="false"/>
                <w:color w:val="000000"/>
                <w:sz w:val="20"/>
              </w:rPr>
              <w:t>Title:</w:t>
            </w:r>
            <w:r>
              <w:rPr>
                <w:color w:val="000000"/>
                <w:u w:val="single"/>
              </w:rPr>
              <w:t>        </w:t>
            </w:r>
          </w:p>
        </w:tc>
      </w:tr>
    </w:tbl>
    <w:p>
      <w:pPr>
        <w:pStyle w:val="TextBody"/>
        <w:bidi w:val="0"/>
        <w:spacing w:lineRule="auto" w:line="288" w:before="0" w:after="240"/>
        <w:jc w:val="left"/>
        <w:rPr/>
      </w:pPr>
      <w:r>
        <w:rPr>
          <w:rFonts w:ascii="Times New Roman;serif" w:hAnsi="Times New Roman;serif"/>
          <w:b/>
          <w:color w:val="000000"/>
          <w:sz w:val="20"/>
        </w:rPr>
        <w:t>Attachments</w:t>
      </w:r>
      <w:r>
        <w:rPr>
          <w:rFonts w:ascii="Times New Roman;serif" w:hAnsi="Times New Roman;serif"/>
          <w:b w:val="false"/>
          <w:color w:val="000000"/>
          <w:sz w:val="20"/>
        </w:rPr>
        <w:t>: Non-Employee Director Restricted Stock Unit Award Agreement and Amended and Restated 2024 Equity Incentive Plan</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Attachment I</w:t>
        <w:br/>
        <w:br/>
        <w:t xml:space="preserve">Non-Employee Director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Restricted Stock Unit Agreement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Attachment II</w:t>
      </w:r>
    </w:p>
    <w:p>
      <w:pPr>
        <w:pStyle w:val="TextBody"/>
        <w:bidi w:val="0"/>
        <w:spacing w:lineRule="auto" w:line="288" w:before="0" w:after="240"/>
        <w:jc w:val="center"/>
        <w:rPr/>
      </w:pPr>
      <w:r>
        <w:rPr>
          <w:rFonts w:ascii="Times New Roman;serif" w:hAnsi="Times New Roman;serif"/>
          <w:b/>
          <w:color w:val="000000"/>
          <w:sz w:val="20"/>
        </w:rPr>
        <w:t>Equity Incentive Plan</w:t>
      </w:r>
      <w:r>
        <w:rPr>
          <w:rFonts w:ascii="Times New Roman;serif" w:hAnsi="Times New Roman;serif"/>
          <w:b w:val="false"/>
          <w:color w:val="000000"/>
          <w:sz w:val="20"/>
        </w:rPr>
        <w:br/>
        <w:t>(see attached)</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shd w:fill="FFFFFF" w:val="clear"/>
        </w:rPr>
      </w:pPr>
      <w:r>
        <w:rPr>
          <w:rFonts w:ascii="Arial;sans-serif" w:hAnsi="Arial;sans-serif"/>
          <w:b/>
          <w:color w:val="000000"/>
          <w:sz w:val="18"/>
          <w:shd w:fill="FFFFFF" w:val="clear"/>
        </w:rPr>
        <w:t>Exhibit 31.1</w:t>
      </w:r>
    </w:p>
    <w:p>
      <w:pPr>
        <w:pStyle w:val="TextBody"/>
        <w:bidi w:val="0"/>
        <w:spacing w:lineRule="auto" w:line="288" w:before="180" w:after="283"/>
        <w:jc w:val="center"/>
        <w:rPr>
          <w:rFonts w:ascii="Arial;sans-serif" w:hAnsi="Arial;sans-serif"/>
          <w:b/>
          <w:color w:val="000000"/>
          <w:sz w:val="18"/>
          <w:shd w:fill="FFFFFF" w:val="clear"/>
        </w:rPr>
      </w:pPr>
      <w:r>
        <w:rPr>
          <w:rFonts w:ascii="Arial;sans-serif" w:hAnsi="Arial;sans-serif"/>
          <w:b/>
          <w:color w:val="000000"/>
          <w:sz w:val="18"/>
          <w:shd w:fill="FFFFFF" w:val="clear"/>
        </w:rPr>
        <w:t>Certification of Principal Executive Officer</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Pursuant to</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Exchange Act Rules 13a-14(a) and 15d-14(a),</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as Adopted Pursuant to</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Section 302 of Sarbanes-Oxley Act of 2002</w:t>
      </w:r>
    </w:p>
    <w:p>
      <w:pPr>
        <w:pStyle w:val="TextBody"/>
        <w:bidi w:val="0"/>
        <w:spacing w:lineRule="auto" w:line="288"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 Scott Cutler, certify that:</w:t>
      </w:r>
    </w:p>
    <w:p>
      <w:pPr>
        <w:pStyle w:val="TextBody"/>
        <w:bidi w:val="0"/>
        <w:spacing w:lineRule="auto" w:line="288" w:before="180" w:after="283"/>
        <w:ind w:left="0" w:right="0" w:hanging="450"/>
        <w:jc w:val="left"/>
        <w:rPr/>
      </w:pPr>
      <w:r>
        <w:rPr>
          <w:rFonts w:ascii="Arial;sans-serif" w:hAnsi="Arial;sans-serif"/>
          <w:b w:val="false"/>
          <w:color w:val="000000"/>
          <w:sz w:val="18"/>
          <w:shd w:fill="FFFFFF" w:val="clear"/>
        </w:rPr>
        <w:t>1.</w:t>
      </w:r>
      <w:r>
        <w:rPr>
          <w:rFonts w:ascii="Arial;sans-serif" w:hAnsi="Arial;sans-serif"/>
          <w:b w:val="false"/>
          <w:color w:val="000000"/>
          <w:sz w:val="18"/>
        </w:rPr>
        <w:t>I have reviewed this Quarterly Report on Form 10-Q of HealthEquity, Inc.;</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180" w:after="283"/>
        <w:jc w:val="left"/>
        <w:rPr/>
      </w:pPr>
      <w:r>
        <w:rPr>
          <w:rFonts w:ascii="Arial;sans-serif" w:hAnsi="Arial;sans-serif"/>
          <w:b w:val="false"/>
          <w:color w:val="000000"/>
          <w:sz w:val="18"/>
          <w:shd w:fill="FFFFFF" w:val="clear"/>
        </w:rPr>
        <w:t xml:space="preserve">Date: </w:t>
      </w:r>
      <w:r>
        <w:rPr>
          <w:rFonts w:ascii="Arial;sans-serif" w:hAnsi="Arial;sans-serif"/>
          <w:b w:val="false"/>
          <w:color w:val="000000"/>
          <w:sz w:val="18"/>
        </w:rPr>
        <w:t>August 27, 2026</w:t>
      </w:r>
      <w:r>
        <w:rPr>
          <w:color w:val="000000"/>
          <w:shd w:fill="FFFFFF" w:val="clear"/>
        </w:rPr>
        <w:t xml:space="preserve"> </w:t>
      </w:r>
    </w:p>
    <w:p>
      <w:pPr>
        <w:pStyle w:val="TextBody"/>
        <w:bidi w:val="0"/>
        <w:spacing w:lineRule="auto" w:line="288" w:before="0" w:after="0"/>
        <w:jc w:val="left"/>
        <w:rPr>
          <w:color w:val="000000"/>
          <w:shd w:fill="FFFFFF" w:val="clear"/>
        </w:rPr>
      </w:pPr>
      <w:r>
        <w:rPr>
          <w:color w:val="000000"/>
          <w:shd w:fill="FFFFFF" w:val="clear"/>
        </w:rPr>
        <w:t> </w:t>
      </w:r>
    </w:p>
    <w:tbl>
      <w:tblPr>
        <w:tblW w:w="3060" w:type="dxa"/>
        <w:jc w:val="left"/>
        <w:tblInd w:w="0" w:type="dxa"/>
        <w:tblLayout w:type="fixed"/>
        <w:tblCellMar>
          <w:top w:w="28" w:type="dxa"/>
          <w:left w:w="28" w:type="dxa"/>
          <w:bottom w:w="28" w:type="dxa"/>
          <w:right w:w="28" w:type="dxa"/>
        </w:tblCellMar>
      </w:tblPr>
      <w:tblGrid>
        <w:gridCol w:w="239"/>
        <w:gridCol w:w="210"/>
        <w:gridCol w:w="211"/>
        <w:gridCol w:w="702"/>
        <w:gridCol w:w="702"/>
        <w:gridCol w:w="996"/>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Scott Cutler</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Scott Cutler</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 xml:space="preserve">Chief Executive Officer </w:t>
            </w:r>
          </w:p>
          <w:p>
            <w:pPr>
              <w:pStyle w:val="TableContents"/>
              <w:bidi w:val="0"/>
              <w:spacing w:lineRule="auto" w:line="240" w:before="0" w:after="2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shd w:fill="FFFFFF" w:val="clear"/>
        </w:rPr>
      </w:pPr>
      <w:r>
        <w:rPr>
          <w:rFonts w:ascii="Arial;sans-serif" w:hAnsi="Arial;sans-serif"/>
          <w:b/>
          <w:color w:val="000000"/>
          <w:sz w:val="18"/>
          <w:shd w:fill="FFFFFF" w:val="clear"/>
        </w:rPr>
        <w:t>Exhibit 31.2</w:t>
      </w:r>
    </w:p>
    <w:p>
      <w:pPr>
        <w:pStyle w:val="TextBody"/>
        <w:bidi w:val="0"/>
        <w:spacing w:lineRule="auto" w:line="288" w:before="180" w:after="283"/>
        <w:jc w:val="center"/>
        <w:rPr>
          <w:rFonts w:ascii="Arial;sans-serif" w:hAnsi="Arial;sans-serif"/>
          <w:b/>
          <w:color w:val="000000"/>
          <w:sz w:val="18"/>
          <w:shd w:fill="FFFFFF" w:val="clear"/>
        </w:rPr>
      </w:pPr>
      <w:r>
        <w:rPr>
          <w:rFonts w:ascii="Arial;sans-serif" w:hAnsi="Arial;sans-serif"/>
          <w:b/>
          <w:color w:val="000000"/>
          <w:sz w:val="18"/>
          <w:shd w:fill="FFFFFF" w:val="clear"/>
        </w:rPr>
        <w:t>Certification of Principal Financial Officer</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pursuant to</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Exchange Act Rules 13a-14(a) and 15d-14(a),</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as adopted pursuant to</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Section 302 of Sarbanes-Oxley Act of 2002</w:t>
      </w:r>
    </w:p>
    <w:p>
      <w:pPr>
        <w:pStyle w:val="TextBody"/>
        <w:bidi w:val="0"/>
        <w:spacing w:lineRule="auto" w:line="288"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 James Lucania, certify that:</w:t>
      </w:r>
    </w:p>
    <w:p>
      <w:pPr>
        <w:pStyle w:val="TextBody"/>
        <w:bidi w:val="0"/>
        <w:spacing w:lineRule="auto" w:line="288" w:before="180" w:after="283"/>
        <w:ind w:left="0" w:right="0" w:hanging="450"/>
        <w:jc w:val="left"/>
        <w:rPr/>
      </w:pPr>
      <w:r>
        <w:rPr>
          <w:rFonts w:ascii="Arial;sans-serif" w:hAnsi="Arial;sans-serif"/>
          <w:b w:val="false"/>
          <w:color w:val="000000"/>
          <w:sz w:val="18"/>
          <w:shd w:fill="FFFFFF" w:val="clear"/>
        </w:rPr>
        <w:t>1.</w:t>
      </w:r>
      <w:r>
        <w:rPr>
          <w:rFonts w:ascii="Arial;sans-serif" w:hAnsi="Arial;sans-serif"/>
          <w:b w:val="false"/>
          <w:color w:val="000000"/>
          <w:sz w:val="18"/>
        </w:rPr>
        <w:t>I have reviewed this Quarterly Report on Form 10-Q of HealthEquity, Inc.;</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180" w:after="283"/>
        <w:jc w:val="left"/>
        <w:rPr/>
      </w:pPr>
      <w:r>
        <w:rPr>
          <w:rFonts w:ascii="Arial;sans-serif" w:hAnsi="Arial;sans-serif"/>
          <w:b w:val="false"/>
          <w:color w:val="000000"/>
          <w:sz w:val="18"/>
          <w:shd w:fill="FFFFFF" w:val="clear"/>
        </w:rPr>
        <w:t xml:space="preserve">Date: </w:t>
      </w:r>
      <w:r>
        <w:rPr>
          <w:rFonts w:ascii="Arial;sans-serif" w:hAnsi="Arial;sans-serif"/>
          <w:b w:val="false"/>
          <w:color w:val="000000"/>
          <w:sz w:val="18"/>
        </w:rPr>
        <w:t>August 27, 2026</w:t>
      </w:r>
    </w:p>
    <w:tbl>
      <w:tblPr>
        <w:tblW w:w="5039" w:type="dxa"/>
        <w:jc w:val="left"/>
        <w:tblInd w:w="0" w:type="dxa"/>
        <w:tblLayout w:type="fixed"/>
        <w:tblCellMar>
          <w:top w:w="28" w:type="dxa"/>
          <w:left w:w="28" w:type="dxa"/>
          <w:bottom w:w="28" w:type="dxa"/>
          <w:right w:w="28" w:type="dxa"/>
        </w:tblCellMar>
      </w:tblPr>
      <w:tblGrid>
        <w:gridCol w:w="239"/>
        <w:gridCol w:w="210"/>
        <w:gridCol w:w="211"/>
        <w:gridCol w:w="1279"/>
        <w:gridCol w:w="1279"/>
        <w:gridCol w:w="1821"/>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James Lucania</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4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James Lucania</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Executive Vice President and Chief Financial Officer</w:t>
            </w:r>
          </w:p>
          <w:p>
            <w:pPr>
              <w:pStyle w:val="TableContents"/>
              <w:bidi w:val="0"/>
              <w:spacing w:lineRule="auto" w:line="240" w:before="0" w:after="20"/>
              <w:jc w:val="left"/>
              <w:rPr>
                <w:rFonts w:ascii="Arial;sans-serif" w:hAnsi="Arial;sans-serif"/>
                <w:b w:val="false"/>
                <w:i/>
                <w:color w:val="000000"/>
                <w:sz w:val="18"/>
              </w:rPr>
            </w:pPr>
            <w:r>
              <w:rPr>
                <w:rFonts w:ascii="Arial;sans-serif" w:hAnsi="Arial;sans-serif"/>
                <w:b w:val="false"/>
                <w:i/>
                <w:color w:val="000000"/>
                <w:sz w:val="18"/>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shd w:fill="FFFFFF" w:val="clear"/>
        </w:rPr>
      </w:pPr>
      <w:r>
        <w:rPr>
          <w:rFonts w:ascii="Arial;sans-serif" w:hAnsi="Arial;sans-serif"/>
          <w:b/>
          <w:color w:val="000000"/>
          <w:sz w:val="20"/>
          <w:shd w:fill="FFFFFF" w:val="clear"/>
        </w:rPr>
        <w:t>Exhibit 32.1</w:t>
      </w:r>
    </w:p>
    <w:p>
      <w:pPr>
        <w:pStyle w:val="TextBody"/>
        <w:bidi w:val="0"/>
        <w:spacing w:lineRule="auto" w:line="288" w:before="180" w:after="283"/>
        <w:jc w:val="center"/>
        <w:rPr>
          <w:rFonts w:ascii="Arial;sans-serif" w:hAnsi="Arial;sans-serif"/>
          <w:b/>
          <w:color w:val="000000"/>
          <w:sz w:val="20"/>
          <w:shd w:fill="FFFFFF" w:val="clear"/>
        </w:rPr>
      </w:pPr>
      <w:r>
        <w:rPr>
          <w:rFonts w:ascii="Arial;sans-serif" w:hAnsi="Arial;sans-serif"/>
          <w:b/>
          <w:color w:val="000000"/>
          <w:sz w:val="20"/>
          <w:shd w:fill="FFFFFF" w:val="clear"/>
        </w:rPr>
        <w:t>CERTIFICATION OF PRINCIPAL EXECUTIVE OFFICER</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PURSUANT TO 18 U.S.C. SECTION 1350,</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AS ADOPTED PURSUANT TO SECTION 906 OF THE SARBANES-OXLEY ACT OF 2002</w:t>
      </w:r>
    </w:p>
    <w:p>
      <w:pPr>
        <w:pStyle w:val="TextBody"/>
        <w:bidi w:val="0"/>
        <w:spacing w:lineRule="auto" w:line="288" w:before="180" w:after="283"/>
        <w:jc w:val="left"/>
        <w:rPr/>
      </w:pPr>
      <w:r>
        <w:rPr>
          <w:rFonts w:ascii="Arial;sans-serif" w:hAnsi="Arial;sans-serif"/>
          <w:b w:val="false"/>
          <w:color w:val="000000"/>
          <w:sz w:val="20"/>
          <w:shd w:fill="FFFFFF" w:val="clear"/>
        </w:rPr>
        <w:t xml:space="preserve">Pursuant to 18 U.S.C. Section 1350, as adopted pursuant to Section 906 of the Sarbanes-Oxley Act of 2002, I, </w:t>
      </w:r>
      <w:r>
        <w:rPr>
          <w:rFonts w:ascii="Arial;sans-serif" w:hAnsi="Arial;sans-serif"/>
          <w:b w:val="false"/>
          <w:color w:val="000000"/>
          <w:sz w:val="20"/>
        </w:rPr>
        <w:t>Scott Cutler</w:t>
      </w:r>
      <w:r>
        <w:rPr>
          <w:rFonts w:ascii="Arial;sans-serif" w:hAnsi="Arial;sans-serif"/>
          <w:b w:val="false"/>
          <w:color w:val="000000"/>
          <w:sz w:val="20"/>
          <w:shd w:fill="FFFFFF" w:val="clear"/>
        </w:rPr>
        <w:t>, the Chief Executive Officer (Principal Executive Officer) of HealthEquity, Inc. (the “Company”), hereby certify that, to my knowledge:</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1.</w:t>
      </w:r>
      <w:r>
        <w:rPr>
          <w:rFonts w:ascii="Arial;sans-serif" w:hAnsi="Arial;sans-serif"/>
          <w:b w:val="false"/>
          <w:color w:val="000000"/>
          <w:sz w:val="20"/>
        </w:rPr>
        <w:t>Our Quarterly Report on Form 10-Q for the quarter ended July 31, 2026 (the “Report”), of the Company fully complies with the requirements of Section 13(a) or 15(d) of the Securities Exchange Act of 1934;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180" w:after="283"/>
        <w:jc w:val="left"/>
        <w:rPr/>
      </w:pPr>
      <w:r>
        <w:rPr>
          <w:rFonts w:ascii="Arial;sans-serif" w:hAnsi="Arial;sans-serif"/>
          <w:b w:val="false"/>
          <w:color w:val="000000"/>
          <w:sz w:val="20"/>
          <w:shd w:fill="FFFFFF" w:val="clear"/>
        </w:rPr>
        <w:t xml:space="preserve">Date: </w:t>
      </w:r>
      <w:r>
        <w:rPr>
          <w:rFonts w:ascii="Arial;sans-serif" w:hAnsi="Arial;sans-serif"/>
          <w:b w:val="false"/>
          <w:color w:val="000000"/>
          <w:sz w:val="20"/>
        </w:rPr>
        <w:t>August 27, 2026</w:t>
      </w:r>
      <w:r>
        <w:rPr>
          <w:color w:val="000000"/>
          <w:shd w:fill="FFFFFF" w:val="clear"/>
        </w:rPr>
        <w:t xml:space="preserve"> </w:t>
      </w:r>
    </w:p>
    <w:p>
      <w:pPr>
        <w:pStyle w:val="TextBody"/>
        <w:bidi w:val="0"/>
        <w:spacing w:lineRule="auto" w:line="288" w:before="0" w:after="0"/>
        <w:jc w:val="left"/>
        <w:rPr>
          <w:color w:val="000000"/>
          <w:shd w:fill="FFFFFF" w:val="clear"/>
        </w:rPr>
      </w:pPr>
      <w:r>
        <w:rPr>
          <w:color w:val="000000"/>
          <w:shd w:fill="FFFFFF" w:val="clear"/>
        </w:rPr>
        <w:t> </w:t>
      </w:r>
    </w:p>
    <w:tbl>
      <w:tblPr>
        <w:tblW w:w="3612" w:type="dxa"/>
        <w:jc w:val="left"/>
        <w:tblInd w:w="0" w:type="dxa"/>
        <w:tblLayout w:type="fixed"/>
        <w:tblCellMar>
          <w:top w:w="28" w:type="dxa"/>
          <w:left w:w="28" w:type="dxa"/>
          <w:bottom w:w="28" w:type="dxa"/>
          <w:right w:w="28" w:type="dxa"/>
        </w:tblCellMar>
      </w:tblPr>
      <w:tblGrid>
        <w:gridCol w:w="248"/>
        <w:gridCol w:w="220"/>
        <w:gridCol w:w="222"/>
        <w:gridCol w:w="109"/>
        <w:gridCol w:w="109"/>
        <w:gridCol w:w="109"/>
        <w:gridCol w:w="758"/>
        <w:gridCol w:w="758"/>
        <w:gridCol w:w="1079"/>
      </w:tblGrid>
      <w:tr>
        <w:trPr/>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Scott Cutler</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Cutler</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Chief Executive Officer</w:t>
            </w:r>
          </w:p>
          <w:p>
            <w:pPr>
              <w:pStyle w:val="TableContents"/>
              <w:bidi w:val="0"/>
              <w:spacing w:lineRule="auto" w:line="240" w:before="0" w:after="2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shd w:fill="FFFFFF" w:val="clear"/>
        </w:rPr>
      </w:pPr>
      <w:r>
        <w:rPr>
          <w:rFonts w:ascii="Arial;sans-serif" w:hAnsi="Arial;sans-serif"/>
          <w:b/>
          <w:color w:val="000000"/>
          <w:sz w:val="20"/>
          <w:shd w:fill="FFFFFF" w:val="clear"/>
        </w:rPr>
        <w:t>Exhibit 32.2</w:t>
      </w:r>
    </w:p>
    <w:p>
      <w:pPr>
        <w:pStyle w:val="TextBody"/>
        <w:bidi w:val="0"/>
        <w:spacing w:lineRule="auto" w:line="288" w:before="180" w:after="283"/>
        <w:jc w:val="center"/>
        <w:rPr>
          <w:rFonts w:ascii="Arial;sans-serif" w:hAnsi="Arial;sans-serif"/>
          <w:b/>
          <w:color w:val="000000"/>
          <w:sz w:val="20"/>
          <w:shd w:fill="FFFFFF" w:val="clear"/>
        </w:rPr>
      </w:pPr>
      <w:r>
        <w:rPr>
          <w:rFonts w:ascii="Arial;sans-serif" w:hAnsi="Arial;sans-serif"/>
          <w:b/>
          <w:color w:val="000000"/>
          <w:sz w:val="20"/>
          <w:shd w:fill="FFFFFF" w:val="clear"/>
        </w:rPr>
        <w:t>CERTIFICATION OF PRINCIPAL FINANCIAL OFFICER</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PURSUANT TO 18 U.S.C. SECTION 1350,</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AS ADOPTED PURSUANT TO SECTION 906 OF THE SARBANES-OXLEY ACT OF 2002</w:t>
      </w:r>
    </w:p>
    <w:p>
      <w:pPr>
        <w:pStyle w:val="TextBody"/>
        <w:bidi w:val="0"/>
        <w:spacing w:lineRule="auto" w:line="288" w:before="18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Pursuant to 18 U.S.C. Section 1350, as adopted pursuant to Section 906 of the Sarbanes-Oxley Act of 2002, I, James Lucania, Executive Vice President and Chief Financial Officer (Principal Financial Officer) of HealthEquity, Inc. (the “Company”), hereby certify that, to my knowledge:</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1.</w:t>
      </w:r>
      <w:r>
        <w:rPr>
          <w:rFonts w:ascii="Arial;sans-serif" w:hAnsi="Arial;sans-serif"/>
          <w:b w:val="false"/>
          <w:color w:val="000000"/>
          <w:sz w:val="20"/>
        </w:rPr>
        <w:t>Our Quarterly Report on Form 10-Q for the quarter ended July 31, 2026 (the “Report”), of the Company fully complies with the requirements of Section 13(a) or 15(d) of the Securities Exchange Act of 1934;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180" w:after="283"/>
        <w:jc w:val="left"/>
        <w:rPr/>
      </w:pPr>
      <w:r>
        <w:rPr>
          <w:rFonts w:ascii="Arial;sans-serif" w:hAnsi="Arial;sans-serif"/>
          <w:b w:val="false"/>
          <w:color w:val="000000"/>
          <w:sz w:val="20"/>
          <w:shd w:fill="FFFFFF" w:val="clear"/>
        </w:rPr>
        <w:t xml:space="preserve">Date: </w:t>
      </w:r>
      <w:r>
        <w:rPr>
          <w:rFonts w:ascii="Arial;sans-serif" w:hAnsi="Arial;sans-serif"/>
          <w:b w:val="false"/>
          <w:color w:val="000000"/>
          <w:sz w:val="20"/>
        </w:rPr>
        <w:t>August 27, 2026</w:t>
      </w:r>
      <w:r>
        <w:rPr>
          <w:color w:val="000000"/>
          <w:shd w:fill="FFFFFF" w:val="clear"/>
        </w:rPr>
        <w:t xml:space="preserve"> </w:t>
      </w:r>
    </w:p>
    <w:p>
      <w:pPr>
        <w:pStyle w:val="TextBody"/>
        <w:bidi w:val="0"/>
        <w:spacing w:lineRule="auto" w:line="288" w:before="0" w:after="0"/>
        <w:jc w:val="left"/>
        <w:rPr>
          <w:color w:val="000000"/>
          <w:shd w:fill="FFFFFF" w:val="clear"/>
        </w:rPr>
      </w:pPr>
      <w:r>
        <w:rPr>
          <w:color w:val="000000"/>
          <w:shd w:fill="FFFFFF" w:val="clear"/>
        </w:rPr>
        <w:t> </w:t>
      </w:r>
    </w:p>
    <w:tbl>
      <w:tblPr>
        <w:tblW w:w="5742" w:type="dxa"/>
        <w:jc w:val="left"/>
        <w:tblInd w:w="0" w:type="dxa"/>
        <w:tblLayout w:type="fixed"/>
        <w:tblCellMar>
          <w:top w:w="28" w:type="dxa"/>
          <w:left w:w="28" w:type="dxa"/>
          <w:bottom w:w="28" w:type="dxa"/>
          <w:right w:w="28" w:type="dxa"/>
        </w:tblCellMar>
      </w:tblPr>
      <w:tblGrid>
        <w:gridCol w:w="248"/>
        <w:gridCol w:w="220"/>
        <w:gridCol w:w="222"/>
        <w:gridCol w:w="109"/>
        <w:gridCol w:w="109"/>
        <w:gridCol w:w="109"/>
        <w:gridCol w:w="1384"/>
        <w:gridCol w:w="1384"/>
        <w:gridCol w:w="1957"/>
      </w:tblGrid>
      <w:tr>
        <w:trPr/>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James Lucania</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James Lucania</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Executive Vice President and Chief Financial Officer</w:t>
            </w:r>
          </w:p>
          <w:p>
            <w:pPr>
              <w:pStyle w:val="TableContents"/>
              <w:bidi w:val="0"/>
              <w:spacing w:lineRule="auto" w:line="240" w:before="0" w:after="2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27337</Words>
  <Characters>150776</Characters>
  <CharactersWithSpaces>176599</CharactersWithSpaces>
  <Paragraphs>2627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