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0002076763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283"/>
              <w:jc w:val="left"/>
              <w:rPr/>
            </w:pPr>
            <w:r>
              <w:rPr/>
              <w:t>Name of Issuer</w:t>
            </w:r>
          </w:p>
        </w:tc>
        <w:tc>
          <w:tcPr>
            <w:tcW w:w="4476" w:type="dxa"/>
            <w:tcBorders/>
            <w:vAlign w:val="center"/>
          </w:tcPr>
          <w:p>
            <w:pPr>
              <w:pStyle w:val="TableContents"/>
              <w:bidi w:val="0"/>
              <w:spacing w:before="0" w:after="0"/>
              <w:jc w:val="left"/>
              <w:rPr/>
            </w:pPr>
            <w:r>
              <w:rPr/>
              <w:t>HEALTHEQUITY, INC.</w:t>
            </w:r>
          </w:p>
        </w:tc>
      </w:tr>
      <w:tr>
        <w:trPr/>
        <w:tc>
          <w:tcPr>
            <w:tcW w:w="5729" w:type="dxa"/>
            <w:tcBorders/>
            <w:vAlign w:val="center"/>
          </w:tcPr>
          <w:p>
            <w:pPr>
              <w:pStyle w:val="TableContents"/>
              <w:bidi w:val="0"/>
              <w:spacing w:before="0" w:after="283"/>
              <w:jc w:val="left"/>
              <w:rPr/>
            </w:pPr>
            <w:r>
              <w:rPr/>
              <w:t>SEC File Number</w:t>
            </w:r>
          </w:p>
        </w:tc>
        <w:tc>
          <w:tcPr>
            <w:tcW w:w="4476" w:type="dxa"/>
            <w:tcBorders/>
            <w:vAlign w:val="center"/>
          </w:tcPr>
          <w:p>
            <w:pPr>
              <w:pStyle w:val="TableContents"/>
              <w:bidi w:val="0"/>
              <w:spacing w:before="0" w:after="0"/>
              <w:jc w:val="left"/>
              <w:rPr/>
            </w:pPr>
            <w:r>
              <w:rPr/>
              <w:t>001-36568</w:t>
            </w:r>
          </w:p>
        </w:tc>
      </w:tr>
      <w:tr>
        <w:trPr/>
        <w:tc>
          <w:tcPr>
            <w:tcW w:w="5729" w:type="dxa"/>
            <w:tcBorders/>
            <w:vAlign w:val="center"/>
          </w:tcPr>
          <w:p>
            <w:pPr>
              <w:pStyle w:val="TableContents"/>
              <w:bidi w:val="0"/>
              <w:spacing w:before="0" w:after="283"/>
              <w:jc w:val="left"/>
              <w:rPr/>
            </w:pPr>
            <w:r>
              <w:rPr/>
              <w:t>Address of Issuer</w:t>
            </w:r>
          </w:p>
        </w:tc>
        <w:tc>
          <w:tcPr>
            <w:tcW w:w="4476" w:type="dxa"/>
            <w:tcBorders/>
            <w:vAlign w:val="center"/>
          </w:tcPr>
          <w:p>
            <w:pPr>
              <w:pStyle w:val="TableContents"/>
              <w:bidi w:val="0"/>
              <w:spacing w:before="0" w:after="0"/>
              <w:jc w:val="left"/>
              <w:rPr/>
            </w:pPr>
            <w:r>
              <w:rPr/>
              <w:t>15 WEST SCENIC POINTE DRIVE</w:t>
              <w:br/>
              <w:t>SUITE 100</w:t>
              <w:br/>
              <w:t>DRAPER</w:t>
              <w:br/>
              <w:t xml:space="preserve">UTAH </w:t>
              <w:br/>
              <w:t>84020</w:t>
            </w:r>
          </w:p>
        </w:tc>
      </w:tr>
      <w:tr>
        <w:trPr/>
        <w:tc>
          <w:tcPr>
            <w:tcW w:w="5729" w:type="dxa"/>
            <w:tcBorders/>
            <w:vAlign w:val="center"/>
          </w:tcPr>
          <w:p>
            <w:pPr>
              <w:pStyle w:val="TableContents"/>
              <w:bidi w:val="0"/>
              <w:spacing w:before="0" w:after="283"/>
              <w:jc w:val="left"/>
              <w:rPr/>
            </w:pPr>
            <w:r>
              <w:rPr/>
              <w:t>Phone</w:t>
            </w:r>
          </w:p>
        </w:tc>
        <w:tc>
          <w:tcPr>
            <w:tcW w:w="4476" w:type="dxa"/>
            <w:tcBorders/>
            <w:vAlign w:val="center"/>
          </w:tcPr>
          <w:p>
            <w:pPr>
              <w:pStyle w:val="TableContents"/>
              <w:bidi w:val="0"/>
              <w:spacing w:before="0" w:after="0"/>
              <w:jc w:val="left"/>
              <w:rPr/>
            </w:pPr>
            <w:r>
              <w:rPr/>
              <w:t>801.727.1000</w:t>
            </w:r>
          </w:p>
        </w:tc>
      </w:tr>
      <w:tr>
        <w:trPr/>
        <w:tc>
          <w:tcPr>
            <w:tcW w:w="5729" w:type="dxa"/>
            <w:tcBorders/>
            <w:vAlign w:val="center"/>
          </w:tcPr>
          <w:p>
            <w:pPr>
              <w:pStyle w:val="TableContents"/>
              <w:bidi w:val="0"/>
              <w:spacing w:before="0" w:after="283"/>
              <w:jc w:val="left"/>
              <w:rPr/>
            </w:pPr>
            <w:r>
              <w:rPr/>
              <w:t>Name of Person for Whose Account the Securities are To Be Sold</w:t>
            </w:r>
          </w:p>
        </w:tc>
        <w:tc>
          <w:tcPr>
            <w:tcW w:w="4476" w:type="dxa"/>
            <w:tcBorders/>
            <w:vAlign w:val="center"/>
          </w:tcPr>
          <w:p>
            <w:pPr>
              <w:pStyle w:val="TableContents"/>
              <w:bidi w:val="0"/>
              <w:spacing w:before="0" w:after="0"/>
              <w:jc w:val="left"/>
              <w:rPr/>
            </w:pPr>
            <w:r>
              <w:rPr/>
              <w:t>Michael Gathright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29" w:type="dxa"/>
            <w:tcBorders/>
            <w:vAlign w:val="center"/>
          </w:tcPr>
          <w:p>
            <w:pPr>
              <w:pStyle w:val="TableContents"/>
              <w:bidi w:val="0"/>
              <w:spacing w:before="0" w:after="283"/>
              <w:jc w:val="left"/>
              <w:rPr/>
            </w:pPr>
            <w:r>
              <w:rPr/>
              <w:t>Relationship to Issuer</w:t>
            </w:r>
          </w:p>
        </w:tc>
        <w:tc>
          <w:tcPr>
            <w:tcW w:w="447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63"/>
        <w:gridCol w:w="1153"/>
        <w:gridCol w:w="1360"/>
        <w:gridCol w:w="1538"/>
        <w:gridCol w:w="1558"/>
        <w:gridCol w:w="1391"/>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63"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1"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 xml:space="preserve">Common Stock </w:t>
            </w:r>
          </w:p>
        </w:tc>
        <w:tc>
          <w:tcPr>
            <w:tcW w:w="1663" w:type="dxa"/>
            <w:tcBorders/>
            <w:vAlign w:val="center"/>
          </w:tcPr>
          <w:p>
            <w:pPr>
              <w:pStyle w:val="TableContents"/>
              <w:bidi w:val="0"/>
              <w:spacing w:before="0" w:after="0"/>
              <w:jc w:val="left"/>
              <w:rPr/>
            </w:pPr>
            <w:r>
              <w:rPr/>
              <w:t xml:space="preserve">Morgan Stanley Smith Barney </w:t>
              <w:br/>
              <w:t xml:space="preserve">2000 Westchester Ave </w:t>
              <w:br/>
              <w:t>Purchase   NY   10577-2530</w:t>
            </w:r>
          </w:p>
        </w:tc>
        <w:tc>
          <w:tcPr>
            <w:tcW w:w="1153" w:type="dxa"/>
            <w:tcBorders/>
            <w:vAlign w:val="center"/>
          </w:tcPr>
          <w:p>
            <w:pPr>
              <w:pStyle w:val="TableContents"/>
              <w:bidi w:val="0"/>
              <w:spacing w:before="0" w:after="283"/>
              <w:jc w:val="left"/>
              <w:rPr/>
            </w:pPr>
            <w:r>
              <w:rPr/>
              <w:t>2270</w:t>
            </w:r>
          </w:p>
        </w:tc>
        <w:tc>
          <w:tcPr>
            <w:tcW w:w="1360" w:type="dxa"/>
            <w:tcBorders/>
            <w:vAlign w:val="center"/>
          </w:tcPr>
          <w:p>
            <w:pPr>
              <w:pStyle w:val="TableContents"/>
              <w:bidi w:val="0"/>
              <w:spacing w:before="0" w:after="283"/>
              <w:jc w:val="left"/>
              <w:rPr/>
            </w:pPr>
            <w:r>
              <w:rPr/>
              <w:t>211260.01</w:t>
            </w:r>
          </w:p>
        </w:tc>
        <w:tc>
          <w:tcPr>
            <w:tcW w:w="1538" w:type="dxa"/>
            <w:tcBorders/>
            <w:vAlign w:val="center"/>
          </w:tcPr>
          <w:p>
            <w:pPr>
              <w:pStyle w:val="TableContents"/>
              <w:bidi w:val="0"/>
              <w:spacing w:before="0" w:after="283"/>
              <w:jc w:val="left"/>
              <w:rPr/>
            </w:pPr>
            <w:r>
              <w:rPr/>
              <w:t>83602157</w:t>
            </w:r>
          </w:p>
        </w:tc>
        <w:tc>
          <w:tcPr>
            <w:tcW w:w="1558" w:type="dxa"/>
            <w:tcBorders/>
            <w:vAlign w:val="center"/>
          </w:tcPr>
          <w:p>
            <w:pPr>
              <w:pStyle w:val="TableContents"/>
              <w:bidi w:val="0"/>
              <w:spacing w:before="0" w:after="283"/>
              <w:jc w:val="left"/>
              <w:rPr/>
            </w:pPr>
            <w:r>
              <w:rPr/>
              <w:t>07/09/2026</w:t>
            </w:r>
          </w:p>
        </w:tc>
        <w:tc>
          <w:tcPr>
            <w:tcW w:w="139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07/07/2025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2270</w:t>
            </w:r>
          </w:p>
        </w:tc>
        <w:tc>
          <w:tcPr>
            <w:tcW w:w="1046" w:type="dxa"/>
            <w:tcBorders/>
            <w:vAlign w:val="center"/>
          </w:tcPr>
          <w:p>
            <w:pPr>
              <w:pStyle w:val="TableContents"/>
              <w:bidi w:val="0"/>
              <w:spacing w:before="0" w:after="283"/>
              <w:jc w:val="left"/>
              <w:rPr/>
            </w:pPr>
            <w:r>
              <w:rPr/>
              <w:t>07/09/2026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5"/>
        <w:gridCol w:w="8980"/>
      </w:tblGrid>
      <w:tr>
        <w:trPr/>
        <w:tc>
          <w:tcPr>
            <w:tcW w:w="1225" w:type="dxa"/>
            <w:tcBorders/>
            <w:vAlign w:val="center"/>
          </w:tcPr>
          <w:p>
            <w:pPr>
              <w:pStyle w:val="TableContents"/>
              <w:bidi w:val="0"/>
              <w:spacing w:before="0" w:after="283"/>
              <w:jc w:val="left"/>
              <w:rPr/>
            </w:pPr>
            <w:r>
              <w:rPr/>
              <w:t>Remarks</w:t>
            </w:r>
          </w:p>
        </w:tc>
        <w:tc>
          <w:tcPr>
            <w:tcW w:w="8980" w:type="dxa"/>
            <w:tcBorders/>
            <w:vAlign w:val="center"/>
          </w:tcPr>
          <w:p>
            <w:pPr>
              <w:pStyle w:val="TableContents"/>
              <w:bidi w:val="0"/>
              <w:spacing w:before="0" w:after="0"/>
              <w:jc w:val="left"/>
              <w:rPr/>
            </w:pPr>
            <w:r>
              <w:rPr/>
              <w:t xml:space="preserve">This sale is mandated by the Issuer's election under its equity incentive plan to require the satisfaction of a tax withholding obligation to be funded by a "sell to cover" transaction and does not represent a discretionary trade by the reporting person. Exhibit Index: 24.2 - Limited Power of Attorney For Rule 144 Reporting Obligations, and amendments thereto. </w:t>
            </w:r>
          </w:p>
        </w:tc>
      </w:tr>
      <w:tr>
        <w:trPr/>
        <w:tc>
          <w:tcPr>
            <w:tcW w:w="1225" w:type="dxa"/>
            <w:tcBorders/>
            <w:vAlign w:val="center"/>
          </w:tcPr>
          <w:p>
            <w:pPr>
              <w:pStyle w:val="TableContents"/>
              <w:bidi w:val="0"/>
              <w:spacing w:before="0" w:after="283"/>
              <w:jc w:val="left"/>
              <w:rPr/>
            </w:pPr>
            <w:r>
              <w:rPr/>
              <w:t>Date of Notice</w:t>
            </w:r>
          </w:p>
        </w:tc>
        <w:tc>
          <w:tcPr>
            <w:tcW w:w="8980" w:type="dxa"/>
            <w:tcBorders/>
            <w:vAlign w:val="center"/>
          </w:tcPr>
          <w:p>
            <w:pPr>
              <w:pStyle w:val="TableContents"/>
              <w:bidi w:val="0"/>
              <w:spacing w:before="0" w:after="0"/>
              <w:jc w:val="left"/>
              <w:rPr/>
            </w:pPr>
            <w:r>
              <w:rPr/>
              <w:t>07/13/2026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5" w:type="dxa"/>
            <w:tcBorders/>
            <w:vAlign w:val="center"/>
          </w:tcPr>
          <w:p>
            <w:pPr>
              <w:pStyle w:val="TableContents"/>
              <w:bidi w:val="0"/>
              <w:spacing w:before="0" w:after="283"/>
              <w:jc w:val="left"/>
              <w:rPr/>
            </w:pPr>
            <w:r>
              <w:rPr/>
              <w:t>Signature</w:t>
            </w:r>
          </w:p>
        </w:tc>
        <w:tc>
          <w:tcPr>
            <w:tcW w:w="8980" w:type="dxa"/>
            <w:tcBorders/>
            <w:vAlign w:val="center"/>
          </w:tcPr>
          <w:p>
            <w:pPr>
              <w:pStyle w:val="TableContents"/>
              <w:bidi w:val="0"/>
              <w:spacing w:before="0" w:after="0"/>
              <w:jc w:val="left"/>
              <w:rPr/>
            </w:pPr>
            <w:r>
              <w:rPr/>
              <w:t>/s/ Michael Gathright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135"/>
        <w:jc w:val="center"/>
        <w:rPr>
          <w:b/>
          <w:sz w:val="22"/>
        </w:rPr>
      </w:pPr>
      <w:bookmarkStart w:id="16" w:name="ex24-07132026_090743.htm"/>
      <w:bookmarkStart w:id="17" w:name="ksex2407132026_090743"/>
      <w:bookmarkEnd w:id="16"/>
      <w:bookmarkEnd w:id="17"/>
      <w:r>
        <w:rPr>
          <w:b/>
          <w:sz w:val="22"/>
        </w:rPr>
        <w:t>LIMITED POWER OF ATTORNEY FOR RULE 144 REPORTING OBLIGATIONS</w:t>
      </w:r>
      <w:r>
        <w:br w:type="page"/>
      </w:r>
    </w:p>
    <w:p>
      <w:pPr>
        <w:pStyle w:val="TextBody"/>
        <w:bidi w:val="0"/>
        <w:spacing w:before="0" w:after="135"/>
        <w:ind w:left="0" w:right="0" w:firstLine="720"/>
        <w:jc w:val="both"/>
        <w:rPr>
          <w:sz w:val="22"/>
        </w:rPr>
      </w:pPr>
      <w:r>
        <w:rPr>
          <w:sz w:val="22"/>
        </w:rPr>
        <w:t>Know all by these present that the undersigned hereby constitutes and appoints each of Delano W. Ladd, Michael R. Newton and Willkie Farr &amp; Gallagher LLP, and each of the HealthEquity, Inc. (the “</w:t>
      </w:r>
      <w:r>
        <w:rPr>
          <w:b/>
          <w:sz w:val="22"/>
        </w:rPr>
        <w:t>Company</w:t>
      </w:r>
      <w:r>
        <w:rPr>
          <w:sz w:val="22"/>
        </w:rPr>
        <w:t>”) employees holding the titles of General Counsel, Corporate Secretary, and Chief Financial Officer, or any of them acting singly and with full power of substitution, the undersigned's true and lawful attorney-in-fact to:</w:t>
      </w:r>
    </w:p>
    <w:p>
      <w:pPr>
        <w:pStyle w:val="TextBody"/>
        <w:pBdr/>
        <w:bidi w:val="0"/>
        <w:spacing w:before="0" w:after="135"/>
        <w:ind w:left="0" w:right="0" w:hanging="30"/>
        <w:jc w:val="both"/>
        <w:rPr>
          <w:sz w:val="22"/>
        </w:rPr>
      </w:pPr>
      <w:r>
        <w:rPr>
          <w:sz w:val="22"/>
        </w:rPr>
        <w:t>execute for and on behalf of the undersigned, in the undersigned's capacity as an officer or director or both of HealthEquity, Form 144 (and any amendments thereto) in accordance with Rule 144 promulgated under the Securities Act of 1933, as amended (the "</w:t>
      </w:r>
      <w:r>
        <w:rPr>
          <w:b/>
          <w:sz w:val="22"/>
        </w:rPr>
        <w:t>Securities Act</w:t>
      </w:r>
      <w:r>
        <w:rPr>
          <w:sz w:val="22"/>
        </w:rPr>
        <w:t>"), and the rules thereunder;</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60655"/>
                <wp:effectExtent l="0" t="0" r="0" b="0"/>
                <wp:wrapSquare wrapText="right"/>
                <wp:docPr id="5" name="Frame1"/>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pBdr/>
        <w:bidi w:val="0"/>
        <w:spacing w:before="0" w:after="135"/>
        <w:ind w:left="0" w:right="0" w:hanging="30"/>
        <w:jc w:val="both"/>
        <w:rPr>
          <w:sz w:val="22"/>
        </w:rPr>
      </w:pPr>
      <w:r>
        <w:rPr>
          <w:sz w:val="22"/>
        </w:rPr>
        <w:t>do and perform any and all acts for and on behalf of the undersigned which may be necessary or desirable to complete and execute any such Form 144, complete and execute any amendments thereto, and timely file such form with the U.S. Securities and Exchange Commission (the "SEC") and any securities exchange or similar authority, including without limitation the filing of a Form ID or any other documents necessary or appropriate to enable the undersigned to file the Form 144 electronically with the SEC;</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60655"/>
                <wp:effectExtent l="0" t="0" r="0" b="0"/>
                <wp:wrapSquare wrapText="right"/>
                <wp:docPr id="6" name="Frame2"/>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pBdr/>
        <w:bidi w:val="0"/>
        <w:spacing w:before="0" w:after="135"/>
        <w:ind w:left="0" w:right="0" w:hanging="30"/>
        <w:jc w:val="both"/>
        <w:rPr>
          <w:sz w:val="22"/>
        </w:rPr>
      </w:pPr>
      <w:r>
        <w:rPr>
          <w:sz w:val="22"/>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Limited Power of Attorney and approves and ratifies any such release of information; and</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60655"/>
                <wp:effectExtent l="0" t="0" r="0" b="0"/>
                <wp:wrapSquare wrapText="right"/>
                <wp:docPr id="7" name="Frame3"/>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pBdr/>
        <w:bidi w:val="0"/>
        <w:spacing w:before="0" w:after="135"/>
        <w:ind w:left="0" w:right="0" w:hanging="30"/>
        <w:jc w:val="both"/>
        <w:rPr>
          <w:sz w:val="22"/>
        </w:rPr>
      </w:pPr>
      <w:r>
        <w:rPr>
          <w:sz w:val="22"/>
        </w:rPr>
        <w:t>take any other action in connection with the foregoing which, in the opinion of such attorney-in-fact, may be of benefit to, in the best interest of, or legally required by or for, the undersigned, it being understood that the documents executed by such attorney-in-fact on behalf of the undersigned pursuant to this Limited Power of Attorney shall be in such form and shall contain such information and disclosure as such attorney-in-fact may approve in such attorney-in-fact's discretion.</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60655"/>
                <wp:effectExtent l="0" t="0" r="0" b="0"/>
                <wp:wrapSquare wrapText="right"/>
                <wp:docPr id="8" name="Frame4"/>
                <a:graphic xmlns:a="http://schemas.openxmlformats.org/drawingml/2006/main">
                  <a:graphicData uri="http://schemas.microsoft.com/office/word/2010/wordprocessingShape">
                    <wps:wsp>
                      <wps:cNvSpPr txBox="1"/>
                      <wps:spPr>
                        <a:xfrm>
                          <a:off x="0" y="0"/>
                          <a:ext cx="457200" cy="160655"/>
                        </a:xfrm>
                        <a:prstGeom prst="rect"/>
                        <a:solidFill>
                          <a:srgbClr val="FFFFFF"/>
                        </a:solidFill>
                      </wps:spPr>
                      <wps:txbx>
                        <w:txbxContent>
                          <w:p>
                            <w:pPr>
                              <w:pStyle w:val="TextBody"/>
                              <w:bidi w:val="0"/>
                              <w:spacing w:before="0" w:after="283"/>
                              <w:jc w:val="left"/>
                              <w:rPr>
                                <w:sz w:val="22"/>
                              </w:rPr>
                            </w:pPr>
                            <w:r>
                              <w:rPr>
                                <w:sz w:val="22"/>
                              </w:rPr>
                              <w:t>4.</w:t>
                            </w:r>
                          </w:p>
                        </w:txbxContent>
                      </wps:txbx>
                      <wps:bodyPr anchor="t" lIns="0" tIns="0" rIns="0" bIns="0">
                        <a:noAutofit/>
                      </wps:bodyPr>
                    </wps:wsp>
                  </a:graphicData>
                </a:graphic>
              </wp:anchor>
            </w:drawing>
          </mc:Choice>
          <mc:Fallback>
            <w:pict>
              <v:rect style="position:absolute;rotation:-0;width:36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4.</w:t>
                      </w:r>
                    </w:p>
                  </w:txbxContent>
                </v:textbox>
                <w10:wrap type="square" side="right"/>
              </v:rect>
            </w:pict>
          </mc:Fallback>
        </mc:AlternateContent>
      </w:r>
    </w:p>
    <w:p>
      <w:pPr>
        <w:pStyle w:val="TextBody"/>
        <w:bidi w:val="0"/>
        <w:spacing w:before="0" w:after="135"/>
        <w:ind w:left="0" w:right="0" w:firstLine="360"/>
        <w:jc w:val="both"/>
        <w:rPr>
          <w:sz w:val="22"/>
        </w:rPr>
      </w:pPr>
      <w:r>
        <w:rPr>
          <w:sz w:val="22"/>
        </w:rPr>
        <w:t>The undersigned hereby grants to each such attorney-in-fact full power and authority to do and perform any and every act and thing whatsoever required,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Limited Power of Attorney and the rights and powers herein granted.  </w:t>
      </w:r>
    </w:p>
    <w:p>
      <w:pPr>
        <w:pStyle w:val="TextBody"/>
        <w:bidi w:val="0"/>
        <w:spacing w:before="0" w:after="135"/>
        <w:ind w:left="0" w:right="0" w:firstLine="360"/>
        <w:jc w:val="both"/>
        <w:rPr>
          <w:sz w:val="22"/>
        </w:rPr>
      </w:pPr>
      <w:r>
        <w:rPr>
          <w:sz w:val="22"/>
        </w:rPr>
        <w:t>The undersigned acknowledges that the foregoing attorneys-in-fact, in serving in such capacity at the request and on the behalf of the undersigned, are not assuming, nor is the Company assuming, any of the undersigned's responsibilities to comply with, or any liability for the failure to comply with, any provision of Rule 144 under the Securities Act.</w:t>
      </w:r>
    </w:p>
    <w:p>
      <w:pPr>
        <w:pStyle w:val="TextBody"/>
        <w:bidi w:val="0"/>
        <w:spacing w:before="0" w:after="135"/>
        <w:ind w:left="0" w:right="0" w:firstLine="360"/>
        <w:jc w:val="both"/>
        <w:rPr>
          <w:sz w:val="22"/>
        </w:rPr>
      </w:pPr>
      <w:r>
        <w:rPr>
          <w:sz w:val="22"/>
        </w:rPr>
        <w:t xml:space="preserve">This Limited Power of Attorney revokes any earlier Limited Power of Attorney delivered to the Company by the undersigned relating to the matters contemplated herein and shall remain in full force and effect until the undersigned is no longer required to file Form 144 with respect to the undersigned's </w:t>
      </w:r>
    </w:p>
    <w:p>
      <w:pPr>
        <w:pStyle w:val="TextBody"/>
        <w:bidi w:val="0"/>
        <w:spacing w:before="0" w:after="135"/>
        <w:jc w:val="both"/>
        <w:rPr/>
      </w:pPr>
      <w:r>
        <w:rPr/>
      </w:r>
    </w:p>
    <w:p>
      <w:pPr>
        <w:pStyle w:val="HorizontalLine"/>
        <w:pBdr>
          <w:bottom w:val="single" w:sz="6" w:space="0" w:color="808080"/>
        </w:pBdr>
        <w:bidi w:val="0"/>
        <w:jc w:val="left"/>
        <w:rPr/>
      </w:pPr>
      <w:r>
        <w:rPr/>
      </w:r>
      <w:r>
        <w:br w:type="page"/>
      </w:r>
    </w:p>
    <w:p>
      <w:pPr>
        <w:pStyle w:val="TextBody"/>
        <w:bidi w:val="0"/>
        <w:spacing w:before="0" w:after="135"/>
        <w:ind w:left="0" w:right="0" w:firstLine="360"/>
        <w:jc w:val="both"/>
        <w:rPr>
          <w:sz w:val="22"/>
        </w:rPr>
      </w:pPr>
      <w:r>
        <w:rPr>
          <w:sz w:val="22"/>
        </w:rPr>
        <w:t>holdings of and transactions in securities issued by the Company, unless earlier revoked by the undersigned in a signed writing delivered to each of the foregoing attorneys-in-fact.</w:t>
      </w:r>
    </w:p>
    <w:p>
      <w:pPr>
        <w:pStyle w:val="TextBody"/>
        <w:bidi w:val="0"/>
        <w:spacing w:before="0" w:after="135"/>
        <w:jc w:val="left"/>
        <w:rPr/>
      </w:pPr>
      <w:r>
        <w:rPr/>
      </w:r>
    </w:p>
    <w:p>
      <w:pPr>
        <w:pStyle w:val="TextBody"/>
        <w:bidi w:val="0"/>
        <w:spacing w:before="0" w:after="135"/>
        <w:jc w:val="left"/>
        <w:rPr>
          <w:sz w:val="22"/>
        </w:rPr>
      </w:pPr>
      <w:r>
        <w:rPr>
          <w:sz w:val="22"/>
        </w:rPr>
        <w:t>IN WITNESS WHEREOF, the undersigned has executed this Limited Power of Attorney as of this 8th day of July 2025.</w:t>
      </w:r>
    </w:p>
    <w:p>
      <w:pPr>
        <w:pStyle w:val="TextBody"/>
        <w:bidi w:val="0"/>
        <w:spacing w:before="0" w:after="135"/>
        <w:jc w:val="left"/>
        <w:rPr>
          <w:sz w:val="22"/>
        </w:rPr>
      </w:pPr>
      <w:r>
        <w:rPr>
          <w:sz w:val="22"/>
        </w:rPr>
        <w:t>Signed and acknowledged:</w:t>
      </w:r>
    </w:p>
    <w:p>
      <w:pPr>
        <w:pStyle w:val="TextBody"/>
        <w:bidi w:val="0"/>
        <w:spacing w:before="0" w:after="135"/>
        <w:jc w:val="left"/>
        <w:rPr/>
      </w:pPr>
      <w:r>
        <w:rPr/>
      </w:r>
    </w:p>
    <w:tbl>
      <w:tblPr>
        <w:tblW w:w="9360" w:type="dxa"/>
        <w:jc w:val="center"/>
        <w:tblInd w:w="0" w:type="dxa"/>
        <w:tblLayout w:type="fixed"/>
        <w:tblCellMar>
          <w:top w:w="0" w:type="dxa"/>
          <w:left w:w="0" w:type="dxa"/>
          <w:bottom w:w="0" w:type="dxa"/>
          <w:right w:w="0" w:type="dxa"/>
        </w:tblCellMar>
      </w:tblPr>
      <w:tblGrid>
        <w:gridCol w:w="4680"/>
        <w:gridCol w:w="4680"/>
      </w:tblGrid>
      <w:tr>
        <w:trPr/>
        <w:tc>
          <w:tcPr>
            <w:tcW w:w="4680" w:type="dxa"/>
            <w:tcBorders/>
            <w:vAlign w:val="center"/>
          </w:tcPr>
          <w:p>
            <w:pPr>
              <w:pStyle w:val="TableContents"/>
              <w:bidi w:val="0"/>
              <w:spacing w:before="0" w:after="283"/>
              <w:jc w:val="left"/>
              <w:rPr>
                <w:sz w:val="4"/>
                <w:szCs w:val="4"/>
              </w:rPr>
            </w:pPr>
            <w:r>
              <w:rPr>
                <w:sz w:val="4"/>
                <w:szCs w:val="4"/>
              </w:rPr>
            </w:r>
          </w:p>
        </w:tc>
        <w:tc>
          <w:tcPr>
            <w:tcW w:w="4680" w:type="dxa"/>
            <w:tcBorders/>
            <w:vAlign w:val="center"/>
          </w:tcPr>
          <w:p>
            <w:pPr>
              <w:pStyle w:val="TableContents"/>
              <w:bidi w:val="0"/>
              <w:spacing w:before="0" w:after="283"/>
              <w:jc w:val="left"/>
              <w:rPr>
                <w:sz w:val="4"/>
                <w:szCs w:val="4"/>
              </w:rPr>
            </w:pPr>
            <w:r>
              <w:rPr>
                <w:sz w:val="4"/>
                <w:szCs w:val="4"/>
              </w:rPr>
            </w:r>
          </w:p>
        </w:tc>
      </w:tr>
      <w:tr>
        <w:trPr/>
        <w:tc>
          <w:tcPr>
            <w:tcW w:w="4680" w:type="dxa"/>
            <w:tcBorders/>
          </w:tcPr>
          <w:p>
            <w:pPr>
              <w:pStyle w:val="TableContents"/>
              <w:bidi w:val="0"/>
              <w:spacing w:before="0" w:after="135"/>
              <w:jc w:val="left"/>
              <w:rPr/>
            </w:pPr>
            <w:r>
              <w:rPr/>
            </w:r>
          </w:p>
        </w:tc>
        <w:tc>
          <w:tcPr>
            <w:tcW w:w="4680" w:type="dxa"/>
            <w:tcBorders>
              <w:bottom w:val="single" w:sz="2" w:space="0" w:color="000000"/>
            </w:tcBorders>
            <w:tcMar>
              <w:bottom w:w="28" w:type="dxa"/>
            </w:tcMar>
          </w:tcPr>
          <w:p>
            <w:pPr>
              <w:pStyle w:val="TableContents"/>
              <w:bidi w:val="0"/>
              <w:spacing w:before="0" w:after="135"/>
              <w:jc w:val="left"/>
              <w:rPr>
                <w:sz w:val="22"/>
              </w:rPr>
            </w:pPr>
            <w:r>
              <w:rPr>
                <w:sz w:val="22"/>
              </w:rPr>
              <w:t>/s/ Michael Gathright</w:t>
            </w:r>
          </w:p>
        </w:tc>
      </w:tr>
      <w:tr>
        <w:trPr/>
        <w:tc>
          <w:tcPr>
            <w:tcW w:w="4680" w:type="dxa"/>
            <w:tcBorders/>
          </w:tcPr>
          <w:p>
            <w:pPr>
              <w:pStyle w:val="TableContents"/>
              <w:bidi w:val="0"/>
              <w:spacing w:before="0" w:after="135"/>
              <w:jc w:val="left"/>
              <w:rPr/>
            </w:pPr>
            <w:r>
              <w:rPr/>
            </w:r>
          </w:p>
        </w:tc>
        <w:tc>
          <w:tcPr>
            <w:tcW w:w="4680" w:type="dxa"/>
            <w:tcBorders/>
          </w:tcPr>
          <w:p>
            <w:pPr>
              <w:pStyle w:val="TableContents"/>
              <w:bidi w:val="0"/>
              <w:spacing w:before="0" w:after="135"/>
              <w:jc w:val="left"/>
              <w:rPr/>
            </w:pPr>
            <w:r>
              <w:rPr/>
            </w:r>
          </w:p>
        </w:tc>
      </w:tr>
    </w:tbl>
    <w:p>
      <w:pPr>
        <w:pStyle w:val="TextBody"/>
        <w:bidi w:val="0"/>
        <w:spacing w:before="0" w:after="135"/>
        <w:jc w:val="left"/>
        <w:rPr/>
      </w:pPr>
      <w:r>
        <w:rPr/>
      </w:r>
    </w:p>
    <w:p>
      <w:pPr>
        <w:pStyle w:val="TextBody"/>
        <w:bidi w:val="0"/>
        <w:spacing w:before="0" w:after="135"/>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1247</Words>
  <Characters>6498</Characters>
  <CharactersWithSpaces>7680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