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329d1_8k.htm"/>
      <w:bookmarkStart w:id="1" w:name="kstm262732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B_edei--DocumentType_c202610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C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HEALTHEQUITY, INC.</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2840"/>
        <w:gridCol w:w="60"/>
        <w:gridCol w:w="2210"/>
        <w:gridCol w:w="60"/>
        <w:gridCol w:w="1880"/>
      </w:tblGrid>
      <w:tr>
        <w:trPr/>
        <w:tc>
          <w:tcPr>
            <w:tcW w:w="28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bookmarkStart w:id="6" w:name="xdx_90D_edei--EntityFileNumber_c20261005"/>
            <w:bookmarkEnd w:id="6"/>
            <w:r>
              <w:rPr>
                <w:b/>
              </w:rPr>
              <w:t>001-36568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52-2383166</w:t>
            </w:r>
          </w:p>
        </w:tc>
      </w:tr>
      <w:tr>
        <w:trPr/>
        <w:tc>
          <w:tcPr>
            <w:tcW w:w="2840" w:type="dxa"/>
            <w:tcBorders/>
            <w:vAlign w:val="center"/>
          </w:tcPr>
          <w:p>
            <w:pPr>
              <w:pStyle w:val="TableContents"/>
              <w:bidi w:val="0"/>
              <w:spacing w:before="0" w:after="283"/>
              <w:jc w:val="center"/>
              <w:rPr/>
            </w:pPr>
            <w:r>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15 West Scenic Pointe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AddressLine2_"/>
      <w:bookmarkEnd w:id="9"/>
      <w:r>
        <w:rPr>
          <w:rFonts w:ascii="Times New Roman;Times;Serif" w:hAnsi="Times New Roman;Times;Serif"/>
          <w:b/>
          <w:i w:val="false"/>
          <w:caps w:val="false"/>
          <w:smallCaps w:val="false"/>
          <w:sz w:val="20"/>
        </w:rPr>
        <w:t>Suite 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Draper, </w:t>
      </w:r>
      <w:bookmarkStart w:id="11" w:name="xdx_901_edei--EntityAddressStateOrProvin"/>
      <w:bookmarkEnd w:id="11"/>
      <w:r>
        <w:rPr>
          <w:rFonts w:ascii="Times New Roman;Times;Serif" w:hAnsi="Times New Roman;Times;Serif"/>
          <w:b/>
          <w:i w:val="false"/>
          <w:caps w:val="false"/>
          <w:smallCaps w:val="false"/>
          <w:sz w:val="20"/>
        </w:rPr>
        <w:t>Utah</w:t>
      </w:r>
      <w:r>
        <w:rPr>
          <w:rFonts w:ascii="Times New Roman;Times;Serif" w:hAnsi="Times New Roman;Times;Serif"/>
          <w:b w:val="false"/>
          <w:i w:val="false"/>
          <w:caps w:val="false"/>
          <w:smallCaps w:val="false"/>
          <w:sz w:val="20"/>
        </w:rPr>
        <w:t xml:space="preserve"> </w:t>
      </w:r>
      <w:bookmarkStart w:id="12" w:name="xdx_906_edei--EntityAddressPostalZipCode"/>
      <w:bookmarkEnd w:id="12"/>
      <w:r>
        <w:rPr>
          <w:rFonts w:ascii="Times New Roman;Times;Serif" w:hAnsi="Times New Roman;Times;Serif"/>
          <w:b/>
          <w:i w:val="false"/>
          <w:caps w:val="false"/>
          <w:smallCaps w:val="false"/>
          <w:sz w:val="20"/>
        </w:rPr>
        <w:t>84020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61005__20"/>
      <w:bookmarkEnd w:id="13"/>
      <w:r>
        <w:rPr>
          <w:rFonts w:ascii="Times New Roman;Times;Serif" w:hAnsi="Times New Roman;Times;Serif"/>
          <w:b/>
          <w:i w:val="false"/>
          <w:caps w:val="false"/>
          <w:smallCaps w:val="false"/>
          <w:sz w:val="20"/>
        </w:rPr>
        <w:t xml:space="preserve">801) </w:t>
      </w:r>
      <w:bookmarkStart w:id="14" w:name="xdx_90A_edei--LocalPhoneNumber_c20261005"/>
      <w:bookmarkEnd w:id="14"/>
      <w:r>
        <w:rPr>
          <w:rFonts w:ascii="Times New Roman;Times;Serif" w:hAnsi="Times New Roman;Times;Serif"/>
          <w:b/>
          <w:i w:val="false"/>
          <w:caps w:val="false"/>
          <w:smallCaps w:val="false"/>
          <w:sz w:val="20"/>
        </w:rPr>
        <w:t>727-1000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5" w:name="xdx_901_edei--WrittenCommunications_c202"/>
      <w:bookmarkEnd w:id="15"/>
      <w:r>
        <w:rPr/>
        <w:t>☐    </w:t>
      </w:r>
      <w:r>
        <w:rPr>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6" w:name="xdx_90C_edei--SolicitingMaterial_c202610"/>
      <w:bookmarkEnd w:id="16"/>
      <w:r>
        <w:rPr/>
        <w:t>☐    </w:t>
      </w:r>
      <w:r>
        <w:rPr>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7" w:name="xdx_906_edei--PreCommencementTenderOffer"/>
      <w:bookmarkEnd w:id="17"/>
      <w:r>
        <w:rPr/>
        <w:t>☐    </w:t>
      </w:r>
      <w:r>
        <w:rPr>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8" w:name="xdx_90C_edei--PreCommencementIssuerTende"/>
      <w:bookmarkEnd w:id="18"/>
      <w:r>
        <w:rPr/>
        <w:t>☐    </w:t>
      </w:r>
      <w:r>
        <w:rPr>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28" w:type="dxa"/>
          <w:right w:w="0" w:type="dxa"/>
        </w:tblCellMar>
      </w:tblPr>
      <w:tblGrid>
        <w:gridCol w:w="3575"/>
        <w:gridCol w:w="60"/>
        <w:gridCol w:w="1610"/>
        <w:gridCol w:w="60"/>
        <w:gridCol w:w="293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9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1005"/>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1005__2"/>
            <w:bookmarkEnd w:id="20"/>
            <w:r>
              <w:rPr>
                <w:rFonts w:ascii="Times New Roman;Times;Serif" w:hAnsi="Times New Roman;Times;Serif"/>
                <w:b w:val="false"/>
                <w:i w:val="false"/>
                <w:caps w:val="false"/>
                <w:smallCaps w:val="false"/>
                <w:sz w:val="20"/>
              </w:rPr>
              <w:t>HQY</w:t>
            </w:r>
          </w:p>
        </w:tc>
        <w:tc>
          <w:tcPr>
            <w:tcW w:w="60" w:type="dxa"/>
            <w:tcBorders/>
            <w:tcMar>
              <w:bottom w:w="0" w:type="dxa"/>
            </w:tcMar>
            <w:vAlign w:val="center"/>
          </w:tcPr>
          <w:p>
            <w:pPr>
              <w:pStyle w:val="TableContents"/>
              <w:bidi w:val="0"/>
              <w:spacing w:before="0" w:after="283"/>
              <w:jc w:val="center"/>
              <w:rPr/>
            </w:pPr>
            <w:r>
              <w:rPr/>
              <w:t> </w:t>
            </w:r>
          </w:p>
        </w:tc>
        <w:tc>
          <w:tcPr>
            <w:tcW w:w="2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6"/>
            <w:bookmarkEnd w:id="21"/>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30"/>
        <w:gridCol w:w="9237"/>
      </w:tblGrid>
      <w:tr>
        <w:trPr/>
        <w:tc>
          <w:tcPr>
            <w:tcW w:w="3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b/>
              </w:rPr>
            </w:pPr>
            <w:r>
              <w:rPr>
                <w:b/>
              </w:rPr>
              <w:t>Item 5.02(b)</w:t>
            </w:r>
          </w:p>
        </w:tc>
        <w:tc>
          <w:tcPr>
            <w:tcW w:w="9237"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Michael Fiore, the Chief Commercial Officer at HealthEquity, Inc. (the “Company”), was terminated by the Company without cause, effective October 5, 2026. The responsibilities of the Chief Commercial Officer will be redistributed to other members of the Company’s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Mr. Fiore’s execution, delivery, and non-revocation of the release of claims against the Company and its subsidiaries and affiliates substantially in the form attached to his employment agreement, and his continuing compliance with certain restrictive covenants contained therein, Mr. Fiore will receive the previously negotiated severance payments and benefits set forth in his employment agreement, as detailed in the Company’s most recent proxy statement filed with the Securities and Exchange Commission on May 13, 2026, and his outstanding equity awards will be treated in a manner consistent with the terms of the 2014 Stock Incentive Plan, the 2024 Stock Incentive Plan, and his applicable award agreements, each as previously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1865"/>
        <w:gridCol w:w="545"/>
        <w:gridCol w:w="4325"/>
      </w:tblGrid>
      <w:tr>
        <w:trPr/>
        <w:tc>
          <w:tcPr>
            <w:tcW w:w="186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HEALTHEQUITY, INC.</w:t>
            </w:r>
          </w:p>
        </w:tc>
      </w:tr>
      <w:tr>
        <w:trPr/>
        <w:tc>
          <w:tcPr>
            <w:tcW w:w="186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Lucania</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Lucania</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536</Words>
  <Characters>3017</Characters>
  <CharactersWithSpaces>3566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