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72026_090857.xml.htm"/>
      <w:bookmarkStart w:id="1" w:name="ksform408272026_0908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DILLON ADRIAN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HEALTHEQUITY,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 SCENIC POINTE DR.,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DRAPER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HEALTHEQUITY, INC.</w:t>
              </w:r>
            </w:hyperlink>
            <w:r>
              <w:rPr/>
              <w:t xml:space="preserve"> [ </w:t>
            </w:r>
            <w:r>
              <w:rPr>
                <w:rFonts w:ascii="Times;serif" w:hAnsi="Times;serif"/>
                <w:color w:val="0000FF"/>
                <w:sz w:val="24"/>
                <w:shd w:fill="FFFFFF" w:val="clear"/>
              </w:rPr>
              <w:t>HQY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104.4718</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105.2557</w:t>
            </w:r>
            <w:r>
              <w:rPr>
                <w:rFonts w:ascii="Times;serif" w:hAnsi="Times;serif"/>
                <w:color w:val="008000"/>
                <w:position w:val="7"/>
                <w:sz w:val="16"/>
                <w:sz w:val="20"/>
                <w:shd w:fill="FFFFFF" w:val="clear"/>
              </w:rPr>
              <w:t>(3)</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62,395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63.64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66.06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December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$104.10 to $105.07,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$105.10 to $105.53,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is immediately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given by Mr. Dillon was previously filed with the U.S. Securities &amp; Exchange Commission on February 5, 2024, as an exhibit to a statement on Form 4 filed by Mr. Dillon with respect to HealthEquity, Inc. and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Newton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63402" TargetMode="External"/><Relationship Id="rId5" Type="http://schemas.openxmlformats.org/officeDocument/2006/relationships/hyperlink" Target="http://www.sec.gov/cgi-bin/browse-edgar?action=getcompany&amp;CIK=00014283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4428</Characters>
  <CharactersWithSpaces>5134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